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limited liability company, effective as of [date] (the "Effective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Articles of Organization on [date] with the office of the Secretary of State of California in accordance with the California Revised Uniform Limited Liability Company Act (Cal Corp Code § 17701.01 et seq.), as may be amended from time to time, and any successor legislation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LLC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articles of organization are filed with the California Secretary of State, and shall continue until [date], unless the Company is dissolved earlier pursuant to the provisions of this Agreement or as provided in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Company's initial registered office is as set forth in the Articles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Articles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Secretary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have the sole and exclusive control of the management, business and affairs of the Company, and the Members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will be considered the vote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LLC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California all records required to be maintained by the Company pursuant to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LLC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Units.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or the expiration of any time period for continuation of the Company, the Managers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and any other certificate required in the State of California with the California Secretary of State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and conditions provided herein,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or required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section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herein shall be deemed contract rights, and no amendments, modification or repeal of this section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California,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