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 of LLC]</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FORMATION</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Maryland by filing on [date], articles of organization with the Maryland Department of Assessments and Taxation.</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Maryland and to do any and all other things determined by the Member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Secretary of State of Maryland, and shall continue until [date], unless the Company is dissolved earlier pursuant to the provisions of this Agreement or as provided in the Maryland Limited Liability Company Act (Md. Code Ann., Corps. &amp; Ass'ns § 4A-101 et seq.) (the "Act").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[location]. The Member may change the principal place of business and establish additional places of business as it deems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office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agent in the State of Maryland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MANAGEMENT</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Member,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Member/Manager, its shareholders, affiliates, officers, directors, partners, employees, agents and assigns shall not be liable for, and shall be indemnified and held harmless (to the extent of the Company's assets) from, any loss or damage incurred by them, the Company or the Member/Manager in connection with the business of the Company, including costs and reasonable attorneys' fees and any amounts expended in the settlement of any claims of loss or damage resulting from any act or omission performed or omitted, except as otherwise provided in this Agreement or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PROFITS, LOSSES AND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TRANSFER OF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DISSOLUTION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time or on the happening of the events specified in the articles of organization or the operating agreement;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time specified by the unanimous consent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time of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 4A-903 of this subtitle; or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agreed or as provided in subsection (b) of this section, at the time the limited liability company has had no members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90 consecutive days.</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LIQUIDATION</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of the Company, the Member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termination and any other certificate required in the State of Maryland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AMENDMENT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amendments to this Agreement shall require the approval of the Member and must be executed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Maryland.</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