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w:t>
      </w:r>
    </w:p>
    <w:p>
      <w:pPr>
        <w:keepNext w:val="0"/>
        <w:spacing w:before="200" w:after="0" w:line="260" w:lineRule="exact"/>
        <w:ind w:left="720" w:right="0" w:firstLine="0"/>
        <w:jc w:val="both"/>
      </w:pPr>
      <w:r>
        <w:rPr>
          <w:rFonts w:ascii="Times New Roman" w:hAnsi="Times New Roman" w:eastAsia="Times New Roman" w:cs="Times New Roman"/>
          <w:b w:val="0"/>
          <w:sz w:val="24"/>
        </w:rPr>
        <w:t>THIS OPERATING AGREEMENT is made effective by the undersigned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undersigned, as the sole equity Member, has formed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Delaware by filing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formation with the Secretary of State of Delaware.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this Company is [Name] Limited Liability Company.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for which this Company is formed is to engage in any lawful act, business, or activity for which limited liability companies may be formed under the laws of the State of Delaware and to do any and all other things determined by the Member or Managers to be necessary, desirable, or incidental to the foregoing purpose.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of the Company shall become effective on the date the certificate of formation is filed with the Secretary of State of Delaware, and shall continue until [date], unless the Company is dissolved earlier pursuant to the provisions of this Agreement or as provided in Section 18-801 of the Delaware Limited Liability Company Act, Del. Code Ann. tit. 6, § 18-101 et seq.</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location of the principal place of business of the Company is [location]. The Managers may change the principal place of business and establish additional places of business as they deem necessary or desirable to conduct the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registered agent for service of process shall be [name], who is located at the following registered office: [address], or such other agent as the Managers may designate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Company hereby designates the Member to be the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three initial Managers are: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They shall possess all rights and powers generally conferred by law and all rights and powers that are necessary, advisable, or consistent in connection therewith and with the provisions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Managers shall bind all of the Managers. The Managers shall also be vested with all specific rights and powers required for or appropriate to the management, conduct or operation of the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authorized number of Managers may be increased or decreased by the Member at any time, in its sole and absolute discretion, upon notice to all Managers. Each Manager appointed by the Member shall hold office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is elected and qualified or until such Manager's earlier death, resignation, expulsion or removal. Unless otherwise restricted by law, any Manager may be removed or expelled, with or without cause, at any time by the Member, and any vacancy caused by any such removal may be filled by action of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Rights and powers of the Managers, by way of illustration but not by way of limitation, shall include the right and power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goods or services from any corporation or other form of business enterprise, whether or not such corporation or business enterprise is owned or controlled by, or affiliated with, the Managers or the Member, including management services at the usual and customary rates prevailing in the management industry from time to time for similar services.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shall manage or cause to be managed the affairs of the Company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and businesslike manner and shall devote such time to the Company affairs as they shall, in their discretion exercised in good faith, determine is reasonably necessary for the conduct of such affairs; provided, however, that it is expressly understood and agreed that the Managers shall not be required to devote their entire time or attention to the business of the Company. In carrying out their obligations, the Managers shall:</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Managers, but in any event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sufficient to replace the building(s), together with improvements, and personal property comprising part of the Company's assets.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Managers may designate (withdrawals from such bank accounts to be made upon such signature or signatures as the Managers may designate).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complete and accurate records of all properties owned or leased by the Company and complete and accurate books of account.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Prepare tax reporting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copies of the Certificate of Formation, any amendments thereto and powers of attorney, if any, pursuant to which the execution of the Certificate of Formation have occurred.</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copies of present and past documents relating to the operation and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carrying out their duties hereunder, the Managers shall not be liable to the Company or to the Member for their good faith actions or failure to act, nor for any errors of judgment, nor for any act or omission believed in good faith to be within the scope of authority conferred by this Agreement, but only for their own willful or fraudulent misconduct in the performance of their obligations under this Agreement, or for gross negligence or willful breach of their fiduciary duties under this Agreement. The receipt of advice of counsel that certain acts and omissions are within the scope of authority conferred by this Agreement shall be conclusive evidence of good faith; however, good faith may be determined without obtaining such legal advice.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does hereby indemnify and hold harmless the Managers and their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Managers believed, in good faith, to be within the scope of authority conferred by this Agreement, except for willful or fraudulent misconduct, gross negligence or willful breach of fiduciary duties, but not in excess of the capital contributions of the Member. Notwithstanding the foregoing, the Company's indemnification of the Managers and their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Managers to the business of the Company, shall be carried in such amounts and of such types as shall be determined by the Managers, subject to Article </w:t>
      </w:r>
      <w:r>
        <w:rPr>
          <w:rFonts w:ascii="Times New Roman" w:hAnsi="Times New Roman" w:eastAsia="Times New Roman" w:cs="Times New Roman"/>
          <w:b w:val="0"/>
          <w:sz w:val="24"/>
        </w:rPr>
        <w:t>2.4.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financial institution or any other person, firm or corporation dealing with the Managers shall be required to ascertain whether the Managers are acting in accordance with this Agreement, but such financial institution or such other person, firm or corporation shall be protected in relying upon the deed, transfer, or assurance of, and the execution of such instrument or instruments by, the Managers.</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mailing address of the Member is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is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Member has contributed to the Company property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agreed value as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Member owns 100%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shall not be held accountable for any of the debts, losses, claims, judgments, or any of the liabilities of the Company beyond the Member's contributions to the capital of the Company, except as provided by law or as otherwise expressly provided by contract.</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or more additional members of the Company may be admitted to the Company with the written consent of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LOSSES AND ACCOUNTING.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the Company has one member, it shall be disregarded as separate from its owner within the meaning of Treas. Reg. section 301.7701-3(b)(1)(ii), and all profits and losses of the Company shall be treated as those of the Member. In the event the Company admits additional members, this Agreement shall be amended to reflect the allocations to the members for U.S.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Accounting: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books shall be kept on the accrual basis and in accordance with reasonable accounting principles consistently applied.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fiscal and taxable year of the Company shall end on December 31.</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"net profits" and "net losses," as used herein, shall mean the net amount of the Company's profits and losses, as determined for federal income tax purposes, and shall also include the Member's share of income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)(1)(B) of the Internal Revenue Code of 1986 (the "Code") or its counterpart in any subsequently enacted Internal Revenue Code, and the applicable Treasury Regulations (the "Regulations") thereunder,, any expenditures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any expenditures described in Section 709(</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which are not deducted or amortized in accordance with Section 709(b) of the Code, basis adjustments required pursuant to former Section 48(q) of the Code, and losses not deductible pursuant to Section 267(</w:t>
      </w:r>
      <w:r>
        <w:rPr>
          <w:rFonts w:ascii="Times New Roman" w:hAnsi="Times New Roman" w:eastAsia="Times New Roman" w:cs="Times New Roman"/>
          <w:b/>
          <w:sz w:val="24"/>
        </w:rPr>
        <w:t>a</w:t>
      </w:r>
      <w:r>
        <w:rPr>
          <w:rFonts w:ascii="Times New Roman" w:hAnsi="Times New Roman" w:eastAsia="Times New Roman" w:cs="Times New Roman"/>
          <w:b w:val="0"/>
          <w:sz w:val="24"/>
        </w:rPr>
        <w:t>) or 707(b)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Member may sell, assign, hypothecate, encumber, or otherwise transfer all or any part of its interest in the Company. Any successor to the Member by merger or consolidation shall, without further act, be the Member hereunder, and the Company shall continue without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the following events, the Company shall be dissolved: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bankruptcy or the termination of the legal existence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of the Company expires;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acts to dissolve and terminate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the dissolution of the Company, the business and affairs of the Company shall continue to be governed by this Agreement during the winding up of the Company's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dissolution and/or termination of the Company, the Managers shall proceed with the liquidation of the Company and sale of its assets. The proceeds of such liquidation shall be applied and distributed in the following order or priority: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creditors, including the Member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to the extent permitted by law, in satisfaction of liabilities of the Company, whether by payment or by establishment of adequate reserves, other than liabilities for interim distributions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setting up of any reserves which the Managers may deem reasonably necessary in order to meet any contingent or unforeseen liabilities or obligations of the Company arising out of, or in connection with, the business of the Company. Said reserves shall be paid over by the Managers to any financial institution, as escrow agent, with trust authority in the county in which the principal accounting records of the Company have been maintained in order to be held by it for the purpose of disbursing such reserves in payment of any of the aforementioned contingencies or liabilities; and at the expiration of such period as the Managers shall deem advisable, the financial institution shall distribute the balance remaining in the manner provided in this Article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in the order named above;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remaining assets of the Company shall be distributed to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7.2.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90 days following the dissolution of the Company or the expiration of any time period for continuation of the Company, the Managers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Cancellation and any other certificate required in the State of Delaware and in any other state that may be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THE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shall require the approval of the Member and must be executed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Delaware.</w:t>
      </w:r>
    </w:p>
    <w:p>
      <w:pPr>
        <w:keepNext w:val="0"/>
        <w:spacing w:before="120" w:after="0" w:line="260" w:lineRule="exact"/>
        <w:ind w:left="1440" w:right="0" w:firstLine="0"/>
        <w:jc w:val="left"/>
      </w:pPr>
      <w:r>
        <w:rPr>
          <w:rFonts w:ascii="Times New Roman" w:hAnsi="Times New Roman" w:eastAsia="Times New Roman" w:cs="Times New Roman"/>
          <w:b w:val="0"/>
          <w:sz w:val="24"/>
        </w:rPr>
        <w:t>9.2.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intended to be performed in accordance with, and only to the extent permitted by, all applicable laws, ordinances, rules, and regulations of the jurisdictions in which the Company does business. If any provision of this Agreement or its application to any person or circumstance shall, for any reason and to any extent, be found to be invalid or unenforceable, the remainder of this Agreement or the application of such provision to other persons or circumstances shall not be affected thereby, but rather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9.3.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"person," as used in this Agreement,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firm, partnership, or other form of association. "Bankruptcy," as used in this Agreement, shall be deemed to occur when the Member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voluntarily takes advantage of any bankruptcy or insolvency laws, or is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answer is filed proposing the adjudication of the Member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and the Member either consents to the filing or such complaint or answer is not discharged or denied prior to the expiration of sixty (60) days following the date of filing.</w:t>
      </w:r>
    </w:p>
    <w:p>
      <w:pPr>
        <w:keepNext w:val="0"/>
        <w:spacing w:before="120" w:after="0" w:line="260" w:lineRule="exact"/>
        <w:ind w:left="1440" w:right="0" w:firstLine="0"/>
        <w:jc w:val="left"/>
      </w:pPr>
      <w:r>
        <w:rPr>
          <w:rFonts w:ascii="Times New Roman" w:hAnsi="Times New Roman" w:eastAsia="Times New Roman" w:cs="Times New Roman"/>
          <w:b w:val="0"/>
          <w:sz w:val="24"/>
        </w:rPr>
        <w:t>9.4.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and all the terms and provisions hereof, shall be binding upon and shall inure to the benefit of the Member and its respective legal representatives, permitted successors, and permitted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Member has entered into this Agreement as of the effective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member]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