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sz w:val="24"/>
        </w:rPr>
        <w:br/>
      </w:r>
      <w:r>
        <w:rPr>
          <w:rFonts w:ascii="Times New Roman" w:hAnsi="Times New Roman" w:eastAsia="Times New Roman" w:cs="Times New Roman"/>
          <w:b/>
          <w:sz w:val="24"/>
        </w:rPr>
        <w:t>A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is made effective by the undersigned as of [date].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undersigned, as the sole Member, has formed a limited liability company under the laws of the State of Delaware by filing on [date], a certificate of formation with the Secretary of State of Delaware.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this Company is [Name of LLC] Limited Liability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for which this Company is formed is to engage in any lawful act, business, or activity for which limited liability companies may be formed under the laws of the State of Delaware and to do any and all other things determined by the Member to be necessary, desirable, or incidental to the foregoing purpose.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of the Company shall become effective on the date the certificate of formation is filed with the Secretary of State of Delaware, and shall continue until [date], unless the Company is dissolved earlier pursuant to the provisions of this Agreement or as provided in Section 18-801 of the Delaware Limited Liability Company Act, Del. Code Ann. tit. 6, § 18-101 et seq (the "Act").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location of the principal place of business of the Company is [Address of principal place of business]. The Member may change the principal place of business and establish additional places of business as it deems necessary or desirable to conduct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registered agent for service of process shall be [Name of registered agent], who is located at the following registered office: [Address of registered agent], or such other agent as the Member may designate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the Company is taxed as a partnership, the Company hereby designates the Member to be the "Tax Representative," who shall be the "partnership representative" of the Company within the meaning of Section 6223(a) of the Code. If any state or local tax law provides for a partnership representative or person having similar rights, powers, authority, or obligations (including as a "tax matters partner"), the Tax Representative shall also serve in such capacity. The Tax Representative may resign at any time, subject to the provisions of Treasury Regulations Section 301-6223-1. If a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business and affairs of the Company shall be managed by the Member. The Member shall have full and complete authority, power, and discretion to manage and control the business, affairs and properties of the Company, to make all decisions regarding those matters and to perform any and all other acts or activities customary or incidental to the management of the Company's business.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Rights and powers of the Member, by way of illustration, but not by way of limitation, shall include the right and power to:</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goods or services from any corporation or other form of business enterprise, whether or not such corporation or business enterprise is owned or controlled by, or affiliated with, the Member, including management services at the usual and customary rates prevailing in the management industry from time to time for similar services.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 and maintain such public liability, hazard and other insurance as may be deemed necessary or appropriate by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Deposit all funds of the Company in one or more separate bank accounts, using such banks or trust companies as the Member may designate (withdrawals from such bank accounts to be made upon such signature or signatures as the Member may designate).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Make or revoke any of the elections referred to in the Internal Revenue Code ("Code") and prepare tax reporting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Cause to be filed such certificates and do such other acts as may be required by law to qualify and maintain the Company as a limited liability company under all applicable state laws.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Admit itself as a Member.</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its shareholders, affiliates, officers, directors, partners, employees, agents and assigns shall not be liable for, and shall be indemnified and held harmless (to the extent of the Company's assets) from, any loss or damage incurred by them, the Company or the Member in connection with the business of the Company, including costs and reasonable attorneys' fees and any amounts expended in the settlement of any claims of loss or damage resulting from any act or omission performed or omitted, except as otherwise provided in this Agreement or as required by the Act.</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financial institution or any other person, firm or corporation dealing with the Member shall be required to ascertain whether the Member is acting in accordance with this Agreement, but such financial institution or such other person, firm or corporation shall be protected in relying upon the deed, transfer, or assurance of, and the execution of such instrument or instruments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mailing address of the Member is set forth on 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which is attached hereto and made a part hereof. The Member has contributed to the Company property of an agreed value as listed on 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The Member owns 100%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may act by written consent.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not be held accountable for any of the debts, losses, claims, judgments, or any of the liabilities of the Company beyond the Member's contributions to the capital of the Company, except as provided by law.</w:t>
      </w:r>
    </w:p>
    <w:p>
      <w:pPr>
        <w:keepNext w:val="0"/>
        <w:spacing w:before="120" w:after="0" w:line="260" w:lineRule="exact"/>
        <w:ind w:left="1440" w:right="0" w:firstLine="0"/>
        <w:jc w:val="left"/>
      </w:pPr>
      <w:r>
        <w:rPr>
          <w:rFonts w:ascii="Times New Roman" w:hAnsi="Times New Roman" w:eastAsia="Times New Roman" w:cs="Times New Roman"/>
          <w:b w:val="0"/>
          <w:sz w:val="24"/>
        </w:rPr>
        <w:t>3.4.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 or more additional members of the Company may be admitted to the Company with the written consent of the Member and on the terms agreed to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 LOSSES AND ACCOUNTING.</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profits and losses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Accounting:</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determine the appropriate accounting method or methods to be used by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shall select as the Company's accounting year a calendar or fiscal year as may be approved by the Internal Revenue Service.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"net profits" and "net losses," as used herein, shall mean the net amount of the Company's profits and losses, as determined for federal income tax purposes, and shall also include the Member's share of income described in Section 705(a)(1)(B) of the Code, any expenditures described in Section 705(a)(2)(B) of the Code, any expenditures described in Section 709(a) of the Code which are not deducted or amortized in accordance with Section 709(b) of the Code, basis adjustments required pursuant to former Section 48(q) of the Code, and losses not deductible pursuant to Section 267(a) or 707(b)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MEMBER'S INTEREST.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Member may sell, assign, hypothecate, encumber, or otherwise transfer all or any part of its interest in the Company. Any successor to the Member by merger or consolidation shall, without further act, be the Member hereunder, and the Company shall continue without dissolution.</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occurrence of the following events, the Company shall be dissolved:</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bankruptcy or the termination of the legal existence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of the Company expires; or</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Member acts to dissolve and terminate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the dissolution of the Company, the business and affairs of the Company shall continue to be governed by this Agreement during the winding up of the Company's business and affairs.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and/or termination of the Company, the Member shall proceed with the liquidation of the Company and sale of its assets. The proceeds of such liquidation shall be applied and distributed in the following order or priority:</w:t>
      </w:r>
    </w:p>
    <w:p>
      <w:pPr>
        <w:keepNext w:val="0"/>
        <w:spacing w:before="120" w:after="0" w:line="260" w:lineRule="exact"/>
        <w:ind w:left="1800" w:right="0" w:firstLine="0"/>
        <w:jc w:val="left"/>
      </w:pPr>
      <w:r>
        <w:rPr>
          <w:rFonts w:ascii="Times New Roman" w:hAnsi="Times New Roman" w:eastAsia="Times New Roman" w:cs="Times New Roman"/>
          <w:b w:val="0"/>
          <w:sz w:val="24"/>
        </w:rPr>
        <w:t>(a)</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creditors, including the Member in its capacity as a creditor, to the extent permitted by law, in satisfaction of liabilities of the Company, whether by payment or by establishment of adequate reserves, other than liabilities for interim distributions of the Member;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setting up of any reserves which the Member may deem reasonably necessary in order to meet any contingent or unforeseen liabilities or obligations of the Company arising out of, or in connection with, the business of the Company. Said reserves shall be paid over by the Member to any financial institution, as escrow agent, with trust authority in the county in which the principal accounting records of the Company have been maintained in order to be held by it for the purpose of disbursing such reserves in payment of any of the aforementioned contingencies or liabilities; and at the expiration of such period as the Member shall deem advisable, the financial institution shall distribute the balance remaining in the manner provided in this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in the order named above;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remaining assets of the Company shall be distributed to the Member.</w:t>
      </w:r>
    </w:p>
    <w:p>
      <w:pPr>
        <w:keepNext w:val="0"/>
        <w:spacing w:before="120" w:after="0" w:line="260" w:lineRule="exact"/>
        <w:ind w:left="1440" w:right="0" w:firstLine="0"/>
        <w:jc w:val="left"/>
      </w:pPr>
      <w:r>
        <w:rPr>
          <w:rFonts w:ascii="Times New Roman" w:hAnsi="Times New Roman" w:eastAsia="Times New Roman" w:cs="Times New Roman"/>
          <w:b w:val="0"/>
          <w:sz w:val="24"/>
        </w:rPr>
        <w:t>7.2.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dissolution of the Company, the Member shall file a Certificate of Cancellation and any other certificate required in the State of Delaware and in any other state that may be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OF THE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amendments to this Agreement shall require the approval of the Member and must be executed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and construed in accordance with, the laws of the State of Delaware.</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intended to be performed in accordance with, and only to the extent permitted by, all applicable laws, ordinances, rules, and regulations of the jurisdictions in which the Company does business. If any provision of this Agreement or its application to any person or circumstance shall, for any reason and to any extent, be found to be invalid or unenforceable, the remainder of this Agreement or the application of such provision to other persons or circumstances shall not be affected thereby, but rather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9.3.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"person," as used in this Agreement, shall include a corporation, firm, partnership, or other form of association. "Bankruptcy," as used in this Agreement, shall be deemed to occur when the Member files a petition in bankruptcy or voluntarily takes advantage of any bankruptcy or insolvency laws, or is adjudicated a bankrupt, or when a petition or answer is filed proposing the adjudication of the Member as a bankrupt and the Member either consents to the filing or such complaint or answer is not discharged or denied prior to the expiration of sixty (60) days following the date of filing.</w:t>
      </w:r>
    </w:p>
    <w:p>
      <w:pPr>
        <w:keepNext w:val="0"/>
        <w:spacing w:before="120" w:after="0" w:line="260" w:lineRule="exact"/>
        <w:ind w:left="1440" w:right="0" w:firstLine="0"/>
        <w:jc w:val="left"/>
      </w:pPr>
      <w:r>
        <w:rPr>
          <w:rFonts w:ascii="Times New Roman" w:hAnsi="Times New Roman" w:eastAsia="Times New Roman" w:cs="Times New Roman"/>
          <w:b w:val="0"/>
          <w:sz w:val="24"/>
        </w:rPr>
        <w:t>9.4.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and all the terms and provisions hereof, shall be binding upon and shall inure to the benefit of the Member and its respective legal representatives, permitted successors, and permitted assigns.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Member has entered into this Agreement as of the effective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member]</w:t>
      </w: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