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Commonwealth of Virginia by filing on [date], articles of organization with the Commonwealth of Virginia State Corporation Commission (Commission).</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this Company is [Name of LLC] Limited Liability Company.</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Commonwealth of Virginia and to do any and all other things determined by the Member to be necessary, desirable or incidental to the foregoing purpose.</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the Company shall become effective on the date the certificate of organization is issued by the Commission, and shall continue until [date], unless the Company is dissolved earlier pursuant to the provisions of this Agreement or as provided in the Virginia Limited Liability Company Act (Act).</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location of the principal place of business of the Company is [location]. The Member may change the principal place of business and establish additional places of business as it deems necessary or desirable to conduct the business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Company's agent for service of process shall be [Name of registered agent], who is located at the following address: [Address of registered agent], or such other agent as the Member may designate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Member owns 100%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dissolution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termination and any other certificate required in the State of Virginia and in any other state that may be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amendments to this Agreement shall require the approval of the Member and must be executed in writing.</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Virginia.</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