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Opinion Letter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[borrower counsel’s 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 [date of opinion]</w:t>
      </w:r>
    </w:p>
    <w:p>
      <w:pPr>
        <w:keepNext w:val="0"/>
        <w:spacing w:before="200" w:after="0" w:line="260" w:lineRule="exact"/>
        <w:ind w:left="360" w:right="0" w:firstLine="0"/>
        <w:jc w:val="both"/>
      </w:pPr>
      <w:r>
        <w:rPr>
          <w:rFonts w:ascii="Times New Roman" w:hAnsi="Times New Roman" w:eastAsia="Times New Roman" w:cs="Times New Roman"/>
          <w:b w:val="0"/>
          <w:sz w:val="24"/>
        </w:rPr>
        <w:t>[name of Addressee Agent]</w:t>
      </w:r>
    </w:p>
    <w:p>
      <w:pPr>
        <w:keepNext w:val="0"/>
        <w:spacing w:before="200" w:after="0" w:line="260" w:lineRule="exact"/>
        <w:ind w:left="360" w:right="0" w:firstLine="0"/>
        <w:jc w:val="both"/>
      </w:pPr>
      <w:r>
        <w:rPr>
          <w:rFonts w:ascii="Times New Roman" w:hAnsi="Times New Roman" w:eastAsia="Times New Roman" w:cs="Times New Roman"/>
          <w:b w:val="0"/>
          <w:sz w:val="24"/>
        </w:rPr>
        <w:t>[and the Lenders party to the Credit Agreement</w:t>
      </w:r>
    </w:p>
    <w:p>
      <w:pPr>
        <w:keepNext w:val="0"/>
        <w:spacing w:before="200" w:after="0" w:line="260" w:lineRule="exact"/>
        <w:ind w:left="360" w:right="0" w:firstLine="0"/>
        <w:jc w:val="both"/>
      </w:pPr>
      <w:r>
        <w:rPr>
          <w:rFonts w:ascii="Times New Roman" w:hAnsi="Times New Roman" w:eastAsia="Times New Roman" w:cs="Times New Roman"/>
          <w:b w:val="0"/>
          <w:sz w:val="24"/>
        </w:rPr>
        <w:t>(as defined below) / To the addressees identified on Schedule I hereto]</w:t>
      </w:r>
    </w:p>
    <w:p>
      <w:pPr>
        <w:keepNext w:val="0"/>
        <w:spacing w:before="200" w:after="0" w:line="260" w:lineRule="exact"/>
        <w:ind w:left="360" w:right="0" w:firstLine="0"/>
        <w:jc w:val="both"/>
      </w:pPr>
      <w:r>
        <w:rPr>
          <w:rFonts w:ascii="Times New Roman" w:hAnsi="Times New Roman" w:eastAsia="Times New Roman" w:cs="Times New Roman"/>
          <w:b w:val="0"/>
          <w:sz w:val="24"/>
        </w:rPr>
        <w:t>Re: [brief description of transaction]</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have acted as counsel to (i)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incorporation / formation / organization] [type of entity] (“</w:t>
      </w:r>
      <w:r>
        <w:rPr>
          <w:rFonts w:ascii="Times New Roman" w:hAnsi="Times New Roman" w:eastAsia="Times New Roman" w:cs="Times New Roman"/>
          <w:b w:val="0"/>
          <w:sz w:val="24"/>
        </w:rPr>
        <w:t>Borrower</w:t>
      </w:r>
      <w:r>
        <w:rPr>
          <w:rFonts w:ascii="Times New Roman" w:hAnsi="Times New Roman" w:eastAsia="Times New Roman" w:cs="Times New Roman"/>
          <w:b w:val="0"/>
          <w:sz w:val="24"/>
        </w:rPr>
        <w:t>”), in connection with the execution and delivery of the Credit Agreement, dated as of [date of credit agreement] (the “</w:t>
      </w:r>
      <w:r>
        <w:rPr>
          <w:rFonts w:ascii="Times New Roman" w:hAnsi="Times New Roman" w:eastAsia="Times New Roman" w:cs="Times New Roman"/>
          <w:b w:val="0"/>
          <w:sz w:val="24"/>
        </w:rPr>
        <w:t>Credit Agreement</w:t>
      </w:r>
      <w:r>
        <w:rPr>
          <w:rFonts w:ascii="Times New Roman" w:hAnsi="Times New Roman" w:eastAsia="Times New Roman" w:cs="Times New Roman"/>
          <w:b w:val="0"/>
          <w:sz w:val="24"/>
        </w:rPr>
        <w:t>”), among Borrower, [name of administrative agent], as administrative agent for the Lenders (“</w:t>
      </w:r>
      <w:r>
        <w:rPr>
          <w:rFonts w:ascii="Times New Roman" w:hAnsi="Times New Roman" w:eastAsia="Times New Roman" w:cs="Times New Roman"/>
          <w:b w:val="0"/>
          <w:sz w:val="24"/>
        </w:rPr>
        <w:t>Administrative Agent</w:t>
      </w:r>
      <w:r>
        <w:rPr>
          <w:rFonts w:ascii="Times New Roman" w:hAnsi="Times New Roman" w:eastAsia="Times New Roman" w:cs="Times New Roman"/>
          <w:b w:val="0"/>
          <w:sz w:val="24"/>
        </w:rPr>
        <w:t>”), and the lenders from time to time party thereto and the transactions contemplated thereby and (ii) [name of guarantor[s]] (the “</w:t>
      </w:r>
      <w:r>
        <w:rPr>
          <w:rFonts w:ascii="Times New Roman" w:hAnsi="Times New Roman" w:eastAsia="Times New Roman" w:cs="Times New Roman"/>
          <w:b w:val="0"/>
          <w:sz w:val="24"/>
        </w:rPr>
        <w:t>Guarantor[s]</w:t>
      </w:r>
      <w:r>
        <w:rPr>
          <w:rFonts w:ascii="Times New Roman" w:hAnsi="Times New Roman" w:eastAsia="Times New Roman" w:cs="Times New Roman"/>
          <w:b w:val="0"/>
          <w:sz w:val="24"/>
        </w:rPr>
        <w:t>” and, together with the Borrower, the “</w:t>
      </w:r>
      <w:r>
        <w:rPr>
          <w:rFonts w:ascii="Times New Roman" w:hAnsi="Times New Roman" w:eastAsia="Times New Roman" w:cs="Times New Roman"/>
          <w:b w:val="0"/>
          <w:sz w:val="24"/>
        </w:rPr>
        <w:t>Loan Parties</w:t>
      </w:r>
      <w:r>
        <w:rPr>
          <w:rFonts w:ascii="Times New Roman" w:hAnsi="Times New Roman" w:eastAsia="Times New Roman" w:cs="Times New Roman"/>
          <w:b w:val="0"/>
          <w:sz w:val="24"/>
        </w:rPr>
        <w:t xml:space="preserve">” and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Loan Party</w:t>
      </w:r>
      <w:r>
        <w:rPr>
          <w:rFonts w:ascii="Times New Roman" w:hAnsi="Times New Roman" w:eastAsia="Times New Roman" w:cs="Times New Roman"/>
          <w:b w:val="0"/>
          <w:sz w:val="24"/>
        </w:rPr>
        <w:t>”), in connection with its execution of the Credit Agreement, as guarantor. This opinion letter is being delivered pursuant to Section [cross-reference to condition precedent section in the credit agreement requiring delivery of opinion] of the Credit Agreement. Unless otherwise indicated, capitalized terms used herein but not otherwise defined herein shall have the respective meanings set forth in the Credit Agreement.</w:t>
      </w:r>
    </w:p>
    <w:p>
      <w:pPr>
        <w:keepNext w:val="0"/>
        <w:spacing w:before="200" w:after="0" w:line="260" w:lineRule="exact"/>
        <w:ind w:left="360" w:right="0" w:firstLine="0"/>
        <w:jc w:val="both"/>
      </w:pPr>
      <w:r>
        <w:rPr>
          <w:rFonts w:ascii="Times New Roman" w:hAnsi="Times New Roman" w:eastAsia="Times New Roman" w:cs="Times New Roman"/>
          <w:b w:val="0"/>
          <w:sz w:val="24"/>
        </w:rPr>
        <w:t>In connection with this opinion letter, we have examined originals or copies, certified or otherwise identified to our satisfaction, of:</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Borrower’s [Articles of Incorporation / Articles of Organization / Certificate of Limited Partnership] and [Bylaws / Limited Liability Company Agreement / Partnership Agreement] and the [Guarantor’s / Guarantors’] [Articles of Incorporation / Articles of Organization / Certificate of Limited Partnership] and [Bylaws / Limited Lability Company Agreement / Partnership Agreement] (collectively, the “</w:t>
      </w:r>
      <w:r>
        <w:rPr>
          <w:rFonts w:ascii="Times New Roman" w:hAnsi="Times New Roman" w:eastAsia="Times New Roman" w:cs="Times New Roman"/>
          <w:b w:val="0"/>
          <w:sz w:val="24"/>
        </w:rPr>
        <w:t>Organizational Documents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resolutions, written declarations or written consents, as applicable, of the board of directors and/or members, as the case may be, of each of the Loan Parties;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Credit Agreement;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Guaranty;</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Security Agreement;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Notice of Grant of Security in Patents and the Notice of Grant of Security in Trademarks; </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Pledge Agreement;</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Deposit Account Control Agreement;</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Securities Account Control Agreement;</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Uniform Commercial Code financing statements, naming Borrower and [each] Guarantor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 and Administrative Agent as the secured party, unfiled copies of which are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w:t>
      </w:r>
      <w:r>
        <w:rPr>
          <w:rFonts w:ascii="Times New Roman" w:hAnsi="Times New Roman" w:eastAsia="Times New Roman" w:cs="Times New Roman"/>
          <w:b w:val="0"/>
          <w:sz w:val="24"/>
        </w:rPr>
        <w:t>Financing Statements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officer’s certificate, delivered to us by Borrower and [each] Guarantor (together, the “</w:t>
      </w:r>
      <w:r>
        <w:rPr>
          <w:rFonts w:ascii="Times New Roman" w:hAnsi="Times New Roman" w:eastAsia="Times New Roman" w:cs="Times New Roman"/>
          <w:b w:val="0"/>
          <w:sz w:val="24"/>
        </w:rPr>
        <w:t>Officer’s Certificates</w:t>
      </w:r>
      <w:r>
        <w:rPr>
          <w:rFonts w:ascii="Times New Roman" w:hAnsi="Times New Roman" w:eastAsia="Times New Roman" w:cs="Times New Roman"/>
          <w:b w:val="0"/>
          <w:sz w:val="24"/>
        </w:rPr>
        <w:t>”); and</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such other public and corporate documents and records as we have deemed necessary or appropriate to enable us to render the opinions expressed below.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financing documents listed in clauses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above are referred to collectively as the “</w:t>
      </w:r>
      <w:r>
        <w:rPr>
          <w:rFonts w:ascii="Times New Roman" w:hAnsi="Times New Roman" w:eastAsia="Times New Roman" w:cs="Times New Roman"/>
          <w:b w:val="0"/>
          <w:sz w:val="24"/>
        </w:rPr>
        <w:t>Financing Documents</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In our examination we have assumed the genuineness of all signatures, the legal capacity of all natural persons, the authenticity of all documents submitted to us as originals, the conformity to original documents of all documents submitted to us as certified, photostatic or electronic copies, the authenticity of the originals of such copies, the due authorization, execution, acknowledgment and delivery by all parties thereto (other than by each of the Loan Parties) of all documents examined by us and the power and authority of the parties (other than each of the Loan Parties) to those documents examined by us to enter into and perform the obligations of such party thereunder. As to questions of fact not independently verified by us we have relied, to the extent we deemed appropriate, upon the representations and warranties of the Loan Parties in the Financing Documents and certificates of officers of each of the Loan Parties including, but not limited to the Officer’s Certificates, public officials and other appropriate persons.</w:t>
      </w:r>
    </w:p>
    <w:p>
      <w:pPr>
        <w:keepNext w:val="0"/>
        <w:spacing w:before="200" w:after="0" w:line="260" w:lineRule="exact"/>
        <w:ind w:left="360" w:right="0" w:firstLine="0"/>
        <w:jc w:val="both"/>
      </w:pPr>
      <w:r>
        <w:rPr>
          <w:rFonts w:ascii="Times New Roman" w:hAnsi="Times New Roman" w:eastAsia="Times New Roman" w:cs="Times New Roman"/>
          <w:b w:val="0"/>
          <w:sz w:val="24"/>
        </w:rPr>
        <w:t>Based upon the foregoing, but subject to the assumptions and qualifications hereinafter set forth, we are of the opinion that, as of the date of this opinion letter:</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 limited liability company / limited partnership], duly [incorporated / organized / formed], validly existing and in good standing under the laws of the [State / Commonwealth] of [jurisdiction of incorporation, organization, or formation].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 Each] Guarantor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 limited liability company / limited partnership], duly [incorporated / organized / formed], validly existing and in good standing under the laws of the [State / Commonwealth] of [jurisdiction of organization].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Each of the Loan Parties has the corporate, limited liability company or partnership, as the case may be, power and authority to execute and deliver the Financing Documents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to perform its respective obligations under the terms and provisions of such Financing Documents and has taken all necessary corporate, limited liability company or partnership, as the case may be, action to authorize the execution, delivery and performance of the Financing Documents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Each of the Loan Parties has duly executed and delivered the Financing Documents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Each of the Financing Documents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Party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constitutes the legal, valid and binding obligation of the Loan Party thereto, enforceable against such Loan Party in accordance with its respective terms.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Neither the execution, delivery and performance by each Loan Party of the Financing Documents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nor compliance by it with the terms and provisions thereof, nor the consummation of the transactions contemplated therein,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violate any provision of any law, statute, rule, regulation or any order, writ, injunction or decree known to us of any court or governmental instrumentality applicable to such Loan Party, (b) will, to our knowledge, result in any breach of any of the terms, covenants, conditions or provisions of,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or other than in favor of Administrative Agent, result in the creation or imposition of (or the obligation to create or impose) any Lien upon any of the property or assets of such Loan Party pursuant to the terms of any material indenture, mortgage, deed of trust, agreement or other instrument [to which such Loan Party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 or any of its material property or assets are bound / to which it may be subject and listed on Exhibit [____]] or (c) will violate any provision of the Organizational Documents of such Loan Party.</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Except for filings and recordings in connection with the security interests to be created under the Financing Documents that have been or will be made, no order, consent, approval, license, authorization, or validation or filing, recording or registration with, or exemption by, any foreign or domestic governmental body or authority of the [State / Commonwealth] of [relevant jurisdiction] or the United States, or any subdivision thereof, is required to authorize or is required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execution, delivery and performance by any Loan Party of any Financing Document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 the legality, validity, binding effect or enforceability of any Financing Document.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None of the Loan Parties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“controlled”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within the meaning of the Investment Company Act of 1940, as amended.</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Security Agreement is effective to create, in favor of Administrative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security interest in all of the right, title and interest of the Loan Parties in, to and under the Collateral described therein (the “</w:t>
      </w:r>
      <w:r>
        <w:rPr>
          <w:rFonts w:ascii="Times New Roman" w:hAnsi="Times New Roman" w:eastAsia="Times New Roman" w:cs="Times New Roman"/>
          <w:b w:val="0"/>
          <w:sz w:val="24"/>
        </w:rPr>
        <w:t>Article 9 Collateral</w:t>
      </w:r>
      <w:r>
        <w:rPr>
          <w:rFonts w:ascii="Times New Roman" w:hAnsi="Times New Roman" w:eastAsia="Times New Roman" w:cs="Times New Roman"/>
          <w:b w:val="0"/>
          <w:sz w:val="24"/>
        </w:rPr>
        <w:t xml:space="preserve">”)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may be created under Article 9 of the Uniform Commercial Code as in effect in [governing UCC jurisdiction] on the date hereof (the “</w:t>
      </w:r>
      <w:r>
        <w:rPr>
          <w:rFonts w:ascii="Times New Roman" w:hAnsi="Times New Roman" w:eastAsia="Times New Roman" w:cs="Times New Roman"/>
          <w:b w:val="0"/>
          <w:sz w:val="24"/>
        </w:rPr>
        <w:t>UCC</w:t>
      </w:r>
      <w:r>
        <w:rPr>
          <w:rFonts w:ascii="Times New Roman" w:hAnsi="Times New Roman" w:eastAsia="Times New Roman" w:cs="Times New Roman"/>
          <w:b w:val="0"/>
          <w:sz w:val="24"/>
        </w:rPr>
        <w:t xml:space="preserve">”). The description of the Article 9 Collateral set forth in each of the Financing Statements is sufficient to perfect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the items and types of such Collateral (other than real estate related Collateral)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may be perfected by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financing statement under the Uniform Commercial Code in effect in the State of [relevant jurisdiction] on the date hereof (the “</w:t>
      </w:r>
      <w:r>
        <w:rPr>
          <w:rFonts w:ascii="Times New Roman" w:hAnsi="Times New Roman" w:eastAsia="Times New Roman" w:cs="Times New Roman"/>
          <w:b w:val="0"/>
          <w:sz w:val="24"/>
        </w:rPr>
        <w:t>State UCC</w:t>
      </w:r>
      <w:r>
        <w:rPr>
          <w:rFonts w:ascii="Times New Roman" w:hAnsi="Times New Roman" w:eastAsia="Times New Roman" w:cs="Times New Roman"/>
          <w:b w:val="0"/>
          <w:sz w:val="24"/>
        </w:rPr>
        <w:t xml:space="preserve">”). Assuming that the Financing Statements 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have been properly filed in the designated filing office listed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hereto and have not subsequently been released, terminated, amended or otherwise modified and all appropriate filing fees have been paid, Administrative Agent’s security interest in the Article 9 Collateral has been perfected, to the extent such security interest may be perfected under the State UCC by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financing statement.</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Pledge Agreement is effective to create, in favor of Administrative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security interest in all right, title and interest of the Pledgors in the Pledged Collateral (for purposes of this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only, as defined in the Pledge Agreement) as is described in the Pledge Agreement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is governed by the provisions of the UCC and as to which perfection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can be perfected by the filing of Uniform Commercial Code financing statements. The filing of the Financing Statement naming Borrower as debtor in the designated filing office listed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hereto, will perfect the security interests created under the Pledge Agreement in the Pledged Collateral to the extent such security interests are capable of being perfected by filing financing statements under the State UCC. The security interest in that portion of the Pledged Equity Interests (as defined in the Pledge Agreement) represented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in bearer form or in registered form indorsed (as provided in Section 8-102(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)(11) of the UCC) to Administrative Agent or in blank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indorsement (as so provided) or registered in the name of Administrative Agent will, upon the creation of such security interest, be perfected by Administrative Agent taking possession thereof in the State of [relevant jurisdiction] and such perfected security interest will remain perfected thereafter so long as such certificates are retained by Administrative Agent in its possession in the State of [relevant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To our knowledge, there is no action, suit or proceeding before, or instituted by, any court or governmental agency or body, domestic or foreign, now pending or threatened against any Loan Party (</w:t>
      </w:r>
      <w:r>
        <w:rPr>
          <w:rFonts w:ascii="Times New Roman" w:hAnsi="Times New Roman" w:eastAsia="Times New Roman" w:cs="Times New Roman"/>
          <w:b/>
          <w:sz w:val="24"/>
        </w:rPr>
        <w:t>a</w:t>
      </w:r>
      <w:r>
        <w:rPr>
          <w:rFonts w:ascii="Times New Roman" w:hAnsi="Times New Roman" w:eastAsia="Times New Roman" w:cs="Times New Roman"/>
          <w:b w:val="0"/>
          <w:sz w:val="24"/>
        </w:rPr>
        <w:t>) asserting the invalidity of the Financing Documents, (b) seeking to prevent the consummation of any of the transactions contemplated by the Financing Documents, or (c) seeking any determination or ruling that might materially and adversely affect the performance by any Loan Party of its obligations under, or the validity or enforceability of, any of the Financing Documents.</w:t>
      </w:r>
    </w:p>
    <w:p>
      <w:pPr>
        <w:keepNext w:val="0"/>
        <w:spacing w:before="200" w:after="0" w:line="260" w:lineRule="exact"/>
        <w:ind w:left="360" w:right="0" w:firstLine="0"/>
        <w:jc w:val="both"/>
      </w:pPr>
      <w:r>
        <w:rPr>
          <w:rFonts w:ascii="Times New Roman" w:hAnsi="Times New Roman" w:eastAsia="Times New Roman" w:cs="Times New Roman"/>
          <w:b w:val="0"/>
          <w:sz w:val="24"/>
        </w:rPr>
        <w:t>The opinions set forth herein are subject to the following assumptions and qualifications: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We have not made or undertaken to make any investigation of the state of title to the real property or to the personal property constituting Collateral for the Obligations and we express no opinion with respect to the title of such real property and personal property. We assume each of the Loan Parties has rights or the power to transfer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secured party in the Article 9 Collateral. We express no opinion as to the priority of the security interests granted under any of the Financing Documents.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In basing the opinions and other matters set forth herein on “our knowledge,” the words “our knowledge” signify that, in the course of our representation of the Loan Parties in matters with respect to which we have been engaged by the Loan Parties, as counsel, no information has come to our attention that would give us actual knowledge or actual notice that any such opinions or other matters are not accurate or that any of the foregoing documents, certificates, reports and information on which we have relied are not accurate and complete. Except as otherwise stated in this opinion letter, we have undertaken no independent investigation or verification of such matters. The words “our knowledge” and similar language used herein are intended to be limited to the knowledge of the lawyers within our firm who have recently worked on matters on behalf of the Loan Parties.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have assumed each of the Loan Parties has received legally sufficient consideration and that “value” (as defined in Section 1-201(44) of the UCC) “has been given” (as required by Section 9-203(b) of the UCC) for its execution of the Financing Documents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the granting of the security interests pursuant thereto.</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Our opinions as to legality, validity, binding effect or enforceability are subject to bankruptcy, insolvency, reorganization, fraudulent transfer, moratorium, the law of guaranty and suretyship and other laws of general applicability, relating to or affecting creditors’ rights, and to general equitable principles, and to judicial discretion regardless of whether such enforceability is considered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of law or equity.</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Our opinion in paragraph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above is not intended to cover consents, approvals or filings that might be required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ordinary course conduct by the Loan Parties of their businesses and operations.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exercise of rights and remedies under the UCC is subject to the limitations set forth in Part 6 thereof, including without limitation, the requirement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proceed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commercially reasonable manner.</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We express no opinion as to the laws of any jurisdiction other than the laws of the [State / Commonwealth] of [relevant jurisdiction] and [relevant jurisdiction] and the laws of the United States (collectively, the “</w:t>
      </w:r>
      <w:r>
        <w:rPr>
          <w:rFonts w:ascii="Times New Roman" w:hAnsi="Times New Roman" w:eastAsia="Times New Roman" w:cs="Times New Roman"/>
          <w:b w:val="0"/>
          <w:sz w:val="24"/>
        </w:rPr>
        <w:t>Covered Laws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We express no opinion as to the application or requirements of the state or federal securities, banking, environmental or tax laws in respect of the transactions contemplated by or referred to in the Financing Documents (without limiting other laws excluded by customary practice).</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We express no opinion as to the validity or enforceability of any provision of the Financing Documents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permits Administrative Agent or the Lenders to charge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pre-payment premium or to increase the rate of interest or to collect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charge in the event of delinquency or default to the extent such premium, interest rate increase or late charge would violate usury laws or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(b) purports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any of the Loan Parties of any right or benefit (including, without limitation, any cognovit provisions or confessions of judgment) except to the extent permitted by applicable law, (c) purports to grant Administrative Agent or any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power-of-attorney, (d) purports to entitle Administrative Agent or any Lender to take possession of the Article 9 Collateral in any manner other than peaceably and by reason of the peaceful surrender of such possession by any Loan Party, or by reason of appropriate judicial proceedings, (e) purports to require that waivers be in writing or (f) provides for the payment of attorneys’ fees where such payment is contrary to law or public policy.</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We express no opinion as to the legality, validity, binding effect or enforceability of any provision in the Financing Documents: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relating to forum selection and note that forum selection clauses are not binding in courts in the forum selected, (b) relating to waiver of the right to trial by jury or (c) relating to choice of governing law to the extent that the enforceability of any such provision is to be determined by any court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the [State/Commonwealth] of [relevant jurisdiction] or is contrary to applicable policy or constitutional limitations.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Other than with respect to our opinion expressed in paragraph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we express no opinion regarding any security interest in any copyrights, patents, trademarks, service marks or other intellectual property, or any license or sublicense thereof or the proceeds of any of the foregoing except to the extent Article 9 of the UCC may be applicable to the foregoing and, without limiting the generality of the foregoing, we express no opinion as to the effect of any federal laws relating to copyrights, patents, trademarks, service marks or other intellectual property on the opinions expressed herein. In addition, we call to your attention that any license or sublicense of copyrights, patents, trademarks or other intellectual property may not be assignable unless such license or sublicense affirmatively permits the creation, perfection and enforcement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therein.</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additional qualifications set forth in Schedule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hereto.</w:t>
      </w:r>
    </w:p>
    <w:p>
      <w:pPr>
        <w:keepNext w:val="0"/>
        <w:spacing w:before="200" w:after="0" w:line="260" w:lineRule="exact"/>
        <w:ind w:left="360" w:right="0" w:firstLine="0"/>
        <w:jc w:val="both"/>
      </w:pPr>
      <w:r>
        <w:rPr>
          <w:rFonts w:ascii="Times New Roman" w:hAnsi="Times New Roman" w:eastAsia="Times New Roman" w:cs="Times New Roman"/>
          <w:b w:val="0"/>
          <w:sz w:val="24"/>
        </w:rPr>
        <w:t>This opinion letter is being furnished only to the addressees and is solely for their benefit and the benefit of their respective participants and permitted assigns in connection with the above described transactions. The opinions expressed in this opinion letter are limited to the matters set forth in this opinion letter and no other opinions should be inferred beyond the matters expressly stated. We assume no obligation to revise or supplement this opinion letter in the event of any amendment, supplement or other modification of any of the Financing Documents or if the present law of the United States of America or of the [State / Commonwealth] of [relevant jurisdiction]] or [relevant jurisdiction] is changed by legislative action, judicial decision or otherwise. This opinion letter may not be relied upon by the Administrative Agent or the Lenders for any other purpose, or furnished to, assigned to or relied upon by any other person, firm or entity for any purpose whatsoever, without our prior written consent, which may be granted or withheld in our discretion.</w:t>
      </w:r>
    </w:p>
    <w:p>
      <w:pPr>
        <w:keepNext w:val="0"/>
        <w:spacing w:before="120" w:after="0" w:line="260" w:lineRule="exact"/>
        <w:ind w:left="360" w:right="0" w:firstLine="0"/>
        <w:jc w:val="left"/>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[name of firm]</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Filing Offices.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UCC Qualifications and Limitations.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following qualifications, exceptions and limitations should be noted with respect to the opinions expressed in paragraphs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regarding security interests (references are to the UCC but shall be deemed to include the parallel provisions of the State UCC):</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case of non-identifiable cash proceeds, continuation of perfection is limited to the extent set forth in Section 9-315 of the UCC;</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Article 9 of the UCC requires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continuation statement within the period of six months prior to the expiration of five years from the date of the original filing or the expiration of any subsequent five year period, as applicable, in order to maintain the effectiveness of such filing;</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case of property which becomes Article 9 Collateral after the date hereof, Section 552 of the Bankruptcy Code (11 U.S.C. §§ 101, et seq., the “Bankruptcy Code”) limits the extent to which property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 after the commencement of the case under the Bankruptcy Code may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arising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agreement entered into by the debtor before the commencement of the case;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case of any Article 9 Collateral, Administrative Agent’s security interests will terminate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disposition of such Collateral if such disposition free of the Administrative Agent’s security interest is authorized by Administrative Agent;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case of any interest in or claim in or under any policy of insurance covering the Article 9 Administrative Agent’s security interests are limited to proceeds payable to any Loan Party (and not to any other party named as loss payee under such policies) by reason of loss or damage to the Article 9 Collateral insured under insurance policies maintained by the Loan Parties;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case of any Article 9 Collateral consisting of goods (as such term is defined in the UCC), Administrative Agent’s security interests will terminate when such Collateral is purchased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“buyer in the ordinary course of business” (as such term is defined in Article 9 of the UCC);</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to the extent set forth in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we express no opinion as to the perfection of any lien or security interest of Administrative Agent in Article 9 Collateral that cannot be perfected by filing.</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call to your attention that additional filings may become necessary if any of the Loan Parties changes its name, identity, corporate structure or jurisdiction of organization.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Financing Statements.</w:t>
      </w:r>
    </w:p>
    <w:p>
      <w:pPr>
        <w:keepNext w:val="0"/>
        <w:spacing w:before="200" w:after="0" w:line="260" w:lineRule="exact"/>
        <w:ind w:left="720" w:right="0" w:firstLine="0"/>
        <w:jc w:val="center"/>
      </w:pPr>
      <w:r>
        <w:rPr>
          <w:rFonts w:ascii="Times New Roman" w:hAnsi="Times New Roman" w:eastAsia="Times New Roman" w:cs="Times New Roman"/>
          <w:b w:val="0"/>
          <w:sz w:val="24"/>
        </w:rPr>
        <w:t>[Attached hereto]</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