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Opposition to Defendant’s Motion for Summary Judgment in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Antitrust Case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Opposition to Defendant’s Motion for Summary Judgment on [cause of action]</w:t>
      </w:r>
    </w:p>
    <w:p>
      <w:pPr>
        <w:keepNext w:val="0"/>
        <w:spacing w:before="200" w:after="0" w:line="260" w:lineRule="exact"/>
        <w:ind w:left="720" w:right="0" w:firstLine="0"/>
        <w:jc w:val="center"/>
      </w:pPr>
      <w:r>
        <w:rPr>
          <w:rFonts w:ascii="Times New Roman" w:hAnsi="Times New Roman" w:eastAsia="Times New Roman" w:cs="Times New Roman"/>
          <w:b/>
          <w:sz w:val="24"/>
        </w:rPr>
        <w:t>IN THE UNITED STATES DISTRICT COURT</w:t>
      </w:r>
    </w:p>
    <w:p>
      <w:pPr>
        <w:keepNext w:val="0"/>
        <w:spacing w:before="200" w:after="0" w:line="260" w:lineRule="exact"/>
        <w:ind w:left="720" w:right="0" w:firstLine="0"/>
        <w:jc w:val="center"/>
      </w:pPr>
      <w:r>
        <w:rPr>
          <w:rFonts w:ascii="Times New Roman" w:hAnsi="Times New Roman" w:eastAsia="Times New Roman" w:cs="Times New Roman"/>
          <w:b/>
          <w:sz w:val="24"/>
        </w:rPr>
        <w:t>FOR THE [NAME] DISTRICT OF [STATE]</w:t>
      </w:r>
    </w:p>
    <w:p>
      <w:pPr>
        <w:keepNext w:val="0"/>
        <w:spacing w:before="200" w:after="0" w:line="260" w:lineRule="exact"/>
        <w:ind w:left="720" w:right="0" w:firstLine="0"/>
        <w:jc w:val="center"/>
      </w:pPr>
      <w:r>
        <w:rPr>
          <w:rFonts w:ascii="Times New Roman" w:hAnsi="Times New Roman" w:eastAsia="Times New Roman" w:cs="Times New Roman"/>
          <w:b/>
          <w:sz w:val="24"/>
        </w:rPr>
        <w:t>[NAME] DIVISION</w:t>
      </w:r>
    </w:p>
    <w:p>
      <w:pPr>
        <w:keepNext w:val="0"/>
        <w:spacing w:before="200" w:after="0" w:line="260" w:lineRule="exact"/>
        <w:ind w:left="720" w:right="0" w:firstLine="0"/>
        <w:jc w:val="center"/>
      </w:pPr>
      <w:r>
        <w:rPr>
          <w:rFonts w:ascii="Times New Roman" w:hAnsi="Times New Roman" w:eastAsia="Times New Roman" w:cs="Times New Roman"/>
          <w:b/>
          <w:sz w:val="24"/>
        </w:rPr>
        <w:t>OPPOSITION TO [NAME OF DEFENDANT]’S MOTION FOR SUMMARY JUDGMENT</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Introduction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[Name of defendant] is not entitled to judgment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under Rule 56(b) because there is genuine dispute whether its business practices harmed competition and unfairly excluded [name of plaintiff] from the market. [basis for opposing motion].</w:t>
      </w:r>
    </w:p>
    <w:p>
      <w:pPr>
        <w:keepNext w:val="0"/>
        <w:spacing w:before="120" w:after="0" w:line="260" w:lineRule="exact"/>
        <w:ind w:left="1440" w:right="0" w:firstLine="240"/>
        <w:jc w:val="left"/>
      </w:pPr>
      <w:r>
        <w:rPr>
          <w:rFonts w:ascii="Times New Roman" w:hAnsi="Times New Roman" w:eastAsia="Times New Roman" w:cs="Times New Roman"/>
          <w:b w:val="0"/>
          <w:sz w:val="24"/>
        </w:rPr>
        <w:t>These questions are properly reserved for the finder of fact.</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There Is Genuine Dispute Over the Facts of this Case</w:t>
      </w:r>
    </w:p>
    <w:p>
      <w:pPr>
        <w:keepNext w:val="0"/>
        <w:spacing w:before="200" w:after="0" w:line="260" w:lineRule="exact"/>
        <w:ind w:left="1440" w:right="0" w:firstLine="0"/>
        <w:jc w:val="both"/>
      </w:pPr>
      <w:r>
        <w:rPr>
          <w:rFonts w:ascii="Times New Roman" w:hAnsi="Times New Roman" w:eastAsia="Times New Roman" w:cs="Times New Roman"/>
          <w:b w:val="0"/>
          <w:sz w:val="24"/>
        </w:rPr>
        <w:t>[fact background, highlighting disagreements with Defendant’s fact background]</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Legal Standard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Summary judgment is appropriate where “there is no genuine issue as to any material fact” and “the moving party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Fed. R. Civ. P. 56(c). The moving party must meet the initial burden of producing evidence or showing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absence of evidence. Nissan Fire Ltd. v. Fritz Cos., Inc., 210 F.3d 1099, 1102 (9th Cir. 2000). If the moving party has sustained its initial burden, the nonmoving party must demonstrate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as to material facts on the elements that the moving party has contested, including in the form of affidavits. See Matsushita Elec. Indus. Co. v. Zenith Radio Corp., 475 U.S. 574, 586 (1986).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reasonable inferences must be drawn in favor of the opposing party. </w:t>
      </w:r>
      <w:r>
        <w:rPr>
          <w:rFonts w:ascii="Times New Roman" w:hAnsi="Times New Roman" w:eastAsia="Times New Roman" w:cs="Times New Roman"/>
          <w:b w:val="0"/>
          <w:sz w:val="24"/>
        </w:rPr>
        <w:t>Matsushita</w:t>
      </w:r>
      <w:r>
        <w:rPr>
          <w:rFonts w:ascii="Times New Roman" w:hAnsi="Times New Roman" w:eastAsia="Times New Roman" w:cs="Times New Roman"/>
          <w:b w:val="0"/>
          <w:sz w:val="24"/>
        </w:rPr>
        <w:t xml:space="preserve">, 475 U.S. at 587; Anderson v. Liberty Lobby, Inc., 477 U.S. 242, 248 (1986). Inferences may be drawn from the nonmoving party’s direct and circumstantial evidence to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genuine issue of material fact so long as such evidence is of sufficient “quantum or quality.” Triton Energy Corp. v. Square D. Co., 68 F.3d 1216, 1222 (9th Cir. 1995).</w:t>
      </w:r>
    </w:p>
    <w:p>
      <w:pPr>
        <w:keepNext w:val="0"/>
        <w:spacing w:before="200" w:after="0" w:line="260" w:lineRule="exact"/>
        <w:ind w:left="1440" w:right="0" w:firstLine="0"/>
        <w:jc w:val="both"/>
      </w:pPr>
      <w:r>
        <w:rPr>
          <w:rFonts w:ascii="Times New Roman" w:hAnsi="Times New Roman" w:eastAsia="Times New Roman" w:cs="Times New Roman"/>
          <w:b w:val="0"/>
          <w:sz w:val="24"/>
        </w:rPr>
        <w:t>Summary judgment should be denied because [name of defendant] has failed to meet its burden under Rule 56.</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Argument</w:t>
      </w:r>
    </w:p>
    <w:p>
      <w:pPr>
        <w:keepNext w:val="0"/>
        <w:spacing w:before="200" w:after="0" w:line="260" w:lineRule="exact"/>
        <w:ind w:left="1440" w:right="0" w:firstLine="0"/>
        <w:jc w:val="both"/>
      </w:pPr>
      <w:r>
        <w:rPr>
          <w:rFonts w:ascii="Times New Roman" w:hAnsi="Times New Roman" w:eastAsia="Times New Roman" w:cs="Times New Roman"/>
          <w:b w:val="0"/>
          <w:sz w:val="24"/>
        </w:rPr>
        <w:t>[arguments for opposing motion.]</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Conclusion</w:t>
      </w:r>
    </w:p>
    <w:p>
      <w:pPr>
        <w:keepNext w:val="0"/>
        <w:spacing w:before="200" w:after="0" w:line="260" w:lineRule="exact"/>
        <w:ind w:left="1440" w:right="0" w:firstLine="0"/>
        <w:jc w:val="both"/>
      </w:pPr>
      <w:r>
        <w:rPr>
          <w:rFonts w:ascii="Times New Roman" w:hAnsi="Times New Roman" w:eastAsia="Times New Roman" w:cs="Times New Roman"/>
          <w:b w:val="0"/>
          <w:sz w:val="24"/>
        </w:rPr>
        <w:t>For the reasons stated herein, the court should deny [name of defendant]’s motion for summary judgment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 of filing]</w:t>
      </w:r>
    </w:p>
    <w:p>
      <w:pPr>
        <w:keepNext w:val="0"/>
        <w:spacing w:before="120" w:after="0" w:line="260" w:lineRule="exact"/>
        <w:ind w:left="360" w:right="0" w:firstLine="0"/>
        <w:jc w:val="left"/>
      </w:pPr>
      <w:r>
        <w:rPr>
          <w:rFonts w:ascii="Times New Roman" w:hAnsi="Times New Roman" w:eastAsia="Times New Roman" w:cs="Times New Roman"/>
          <w:b w:val="0"/>
          <w:sz w:val="24"/>
        </w:rPr>
        <w:t>[COUNSEL FOR PLAINTIFF]</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filing attorney]</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[name of plaintiff]</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