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Order Approving Assumption of Restructuring Support Agreement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ORDER AUTHORIZING THE DEBTORS TO ASSUME THE RESTRUCTURING SUPPORT AGREEMENT</w:t>
      </w:r>
    </w:p>
    <w:p>
      <w:pPr>
        <w:keepNext w:val="0"/>
        <w:spacing w:before="200" w:after="0" w:line="260" w:lineRule="exact"/>
        <w:ind w:left="720" w:right="0" w:firstLine="0"/>
        <w:jc w:val="both"/>
      </w:pPr>
      <w:r>
        <w:rPr>
          <w:rFonts w:ascii="Times New Roman" w:hAnsi="Times New Roman" w:eastAsia="Times New Roman" w:cs="Times New Roman"/>
          <w:b w:val="0"/>
          <w:sz w:val="24"/>
        </w:rPr>
        <w:t>Upon consideration of the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of the Debtors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362, 363(b) and 365(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and Bankruptcy Rule 6006, authorizing the Debtors to assume the Restructuring Support Agreement and perform their obligations thereunder, all as more fully set forth in the Motion; and the Court having jurisdiction to consider the Motion and the relief requested therein pursuant to 28 U.S.C. §§ 157 and 1334 and the [applicable standing order]; and the Motion and the relief requested therein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and venue being proper before this Court pursuant to 28 U.S.C. §§ 1408 and 1409; and adequate notice of the Motion and opportunity for objection having been given under the circumstances; and the Court having determined that the legal and factual bases set forth in the Motion establish just cause for the relief granted herein and that such relief is in the best interests of the Debtors, their estates, their creditors, and all parties in interest; and any objections to the Motion having been withdrawn or overruled on the merits; and upon all of the proceedings had before the Court and after due deliberation and sufficient cause appearing therefor,</w:t>
      </w:r>
    </w:p>
    <w:p>
      <w:pPr>
        <w:keepNext w:val="0"/>
        <w:spacing w:before="200" w:after="0" w:line="260" w:lineRule="exact"/>
        <w:ind w:left="720" w:right="0" w:firstLine="0"/>
        <w:jc w:val="both"/>
      </w:pPr>
      <w:r>
        <w:rPr>
          <w:rFonts w:ascii="Times New Roman" w:hAnsi="Times New Roman" w:eastAsia="Times New Roman" w:cs="Times New Roman"/>
          <w:b/>
          <w:sz w:val="24"/>
        </w:rPr>
        <w:t>IT IS HEREBY ORDERED, ADJUDGED, AND DECREED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Motion is </w:t>
      </w:r>
      <w:r>
        <w:rPr>
          <w:rFonts w:ascii="Times New Roman" w:hAnsi="Times New Roman" w:eastAsia="Times New Roman" w:cs="Times New Roman"/>
          <w:b/>
          <w:sz w:val="24"/>
        </w:rPr>
        <w:t>GRANTED</w:t>
      </w:r>
      <w:r>
        <w:rPr>
          <w:rFonts w:ascii="Times New Roman" w:hAnsi="Times New Roman" w:eastAsia="Times New Roman" w:cs="Times New Roman"/>
          <w:b w:val="0"/>
          <w:sz w:val="24"/>
        </w:rPr>
        <w:t xml:space="preserve"> as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authorized to assume the Restructuring Support Agreement in its entirety.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Restructuring Support Agreement shall be binding and enforceable against the Parties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failure to describe specifically or include any particular provision of the Restructuring Support Agreement in the Motion or this Order shall not diminish or impair the effectiveness of such provision, it being the intent of the Court that the Restructuring Support Agreement be assumed by the Debtors in their entirety.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authorized to pay the fees and expenses set forth in the Restructuring Support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authorized to enter into amendments to the Restructuring Support Agreement from time to time subject to the terms and conditions set forth in the Restructuring Support Agreement, as necessary, and without further order of the Court. Within two business days of the effective date of each such amendment, the Debtors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attaching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amendments with the Court.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that the automatic stay provisions of section 362 of the Bankruptcy Code would otherwise apply, such provisions are modified to effectuate all of the terms and provisions of the Restructuring Support Agreement and this order, including permitting the Parties to exercise all rights and remedies under the Restructuring Support Agreement in accordance with its terms, and deliver any notice contemplated thereunder, in each case, without further order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default exists under the Restructuring Support Agreement, and, therefore, the Debtors are not required to satisfy the requirements of section 365(b)(1). Accordingly, the Debtors are not required to: (</w:t>
      </w:r>
      <w:r>
        <w:rPr>
          <w:rFonts w:ascii="Times New Roman" w:hAnsi="Times New Roman" w:eastAsia="Times New Roman" w:cs="Times New Roman"/>
          <w:b/>
          <w:sz w:val="24"/>
        </w:rPr>
        <w:t>a</w:t>
      </w:r>
      <w:r>
        <w:rPr>
          <w:rFonts w:ascii="Times New Roman" w:hAnsi="Times New Roman" w:eastAsia="Times New Roman" w:cs="Times New Roman"/>
          <w:b w:val="0"/>
          <w:sz w:val="24"/>
        </w:rPr>
        <w:t>) cure, or provide adequate assurance that the Debtors will promptly cure, any defaults under the Restructuring Support Agreement; (b) compensate, or provide adequate assurance that the Debtors will promptly compensate, the Parties for any actual pecuniary loss resulting from any default; or (c) provide adequate assurance of future performance of the Restructuring Support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applicability of Bankruptcy Rule 6006(d), the terms and conditions of this order shall be immediately effective and enforceable upon entry of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requirements of Bankruptcy Rule 6004(</w:t>
      </w:r>
      <w:r>
        <w:rPr>
          <w:rFonts w:ascii="Times New Roman" w:hAnsi="Times New Roman" w:eastAsia="Times New Roman" w:cs="Times New Roman"/>
          <w:b/>
          <w:sz w:val="24"/>
        </w:rPr>
        <w:t>a</w:t>
      </w:r>
      <w:r>
        <w:rPr>
          <w:rFonts w:ascii="Times New Roman" w:hAnsi="Times New Roman" w:eastAsia="Times New Roman" w:cs="Times New Roman"/>
          <w:b w:val="0"/>
          <w:sz w:val="24"/>
        </w:rPr>
        <w:t>) and 6004(h) are hereby waived with respect to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authorized and empowered to take such actions as may be necessary and appropriate to implement the terms of this order, and such action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acceptances or rejections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pursuant to section 1125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herein shall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approval of any disclosure statement, plan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of fact or conclusion of law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shall retain jurisdiction with respect to all matters relating to the interpretation or implementation of this order.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