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Order Approving KERP/KEIP Motion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ORDER (I) AUTHORIZING THE DEBTORS TO IMPLEMENT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KEY EMPLOYEE INCENTIVE PLAN AND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KEY EMPLOYEE RETENTION PLAN AND (II) GRANTING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Upon the motion, dated [date]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of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sections 363(b) and 503(c)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(i) authorizing the Debtors to implement the key employee incentive plan [attached to the Motion] as Exhibit B] (the "</w:t>
      </w:r>
      <w:r>
        <w:rPr>
          <w:rFonts w:ascii="Times New Roman" w:hAnsi="Times New Roman" w:eastAsia="Times New Roman" w:cs="Times New Roman"/>
          <w:b w:val="0"/>
          <w:sz w:val="24"/>
        </w:rPr>
        <w:t>KEIP</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retention plan [attached to the Motion as Exhibit C] (the "</w:t>
      </w:r>
      <w:r>
        <w:rPr>
          <w:rFonts w:ascii="Times New Roman" w:hAnsi="Times New Roman" w:eastAsia="Times New Roman" w:cs="Times New Roman"/>
          <w:b w:val="0"/>
          <w:sz w:val="24"/>
        </w:rPr>
        <w:t>KERP</w:t>
      </w:r>
      <w:r>
        <w:rPr>
          <w:rFonts w:ascii="Times New Roman" w:hAnsi="Times New Roman" w:eastAsia="Times New Roman" w:cs="Times New Roman"/>
          <w:b w:val="0"/>
          <w:sz w:val="24"/>
        </w:rPr>
        <w:t xml:space="preserve">") and (ii) granting related relief, as more fully described in the Motion; and the Court having jurisdiction to consider the Motion and the relief requested therein in accordance with 28 U.S.C. §§ 157 and 1334; and consideration of the Motion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it appearing that venue of this proceeding and the Motion is proper pursuant to 28 U.S.C. §§ 1408 and 1409; and due and proper notice of the Motion and the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having been provided, and it appearing that no other or further notice need be provided; and upon all of the proceedings had before the Court; and the Court having reviewed the Motion [and the affidavit] and having heard the statements in support of the Motion at the hearing before the Court; and the Court having determined that the relief requested in the Motion is appropriate; and the Court finding that the Debtors' implementation of the KEIP and the KERP are justified by the facts and circumstances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exercise of the Debtors' sound business judgment; and the Court having found and determined that the legal and factual bases set forth in the Motion establish just cause for the relief granted herein; and after due deliberation and sufficient cause appearing therefor,</w:t>
      </w:r>
    </w:p>
    <w:p>
      <w:pPr>
        <w:keepNext w:val="0"/>
        <w:spacing w:before="200" w:after="0" w:line="260" w:lineRule="exact"/>
        <w:ind w:left="720" w:right="0" w:firstLine="0"/>
        <w:jc w:val="both"/>
      </w:pPr>
      <w:r>
        <w:rPr>
          <w:rFonts w:ascii="Times New Roman" w:hAnsi="Times New Roman" w:eastAsia="Times New Roman" w:cs="Times New Roman"/>
          <w:b w:val="0"/>
          <w:sz w:val="24"/>
        </w:rPr>
        <w:t>IT IS HEREBY ORDERED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Motion is GRANTED as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KEIP and the KERP are approved in their entirety pursuant to sections 363(b) and 503(c)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but not directed, to take all actions to implement the KEIP and the KERP and to make all payments provided under such plans in accordance with the terms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amounts earned and payable under the KEIP and the KERP shall have administrative expense priority under sections 503(</w:t>
      </w:r>
      <w:r>
        <w:rPr>
          <w:rFonts w:ascii="Times New Roman" w:hAnsi="Times New Roman" w:eastAsia="Times New Roman" w:cs="Times New Roman"/>
          <w:b/>
          <w:sz w:val="24"/>
        </w:rPr>
        <w:t>a</w:t>
      </w:r>
      <w:r>
        <w:rPr>
          <w:rFonts w:ascii="Times New Roman" w:hAnsi="Times New Roman" w:eastAsia="Times New Roman" w:cs="Times New Roman"/>
          <w:b w:val="0"/>
          <w:sz w:val="24"/>
        </w:rPr>
        <w:t>) and 507(</w:t>
      </w:r>
      <w:r>
        <w:rPr>
          <w:rFonts w:ascii="Times New Roman" w:hAnsi="Times New Roman" w:eastAsia="Times New Roman" w:cs="Times New Roman"/>
          <w:b/>
          <w:sz w:val="24"/>
        </w:rPr>
        <w:t>a</w:t>
      </w:r>
      <w:r>
        <w:rPr>
          <w:rFonts w:ascii="Times New Roman" w:hAnsi="Times New Roman" w:eastAsia="Times New Roman" w:cs="Times New Roman"/>
          <w:b w:val="0"/>
          <w:sz w:val="24"/>
        </w:rPr>
        <w:t>)(2) of the Bankruptcy Code for all purposes in the Chapter 11 Cases and in any other cases under the Bankruptcy Code to which these cases may be converted.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Federal Rule of Bankruptcy Procedure 6004(h), this Order shall be immediately effective and enforceable upon entry.</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shall retain jurisdiction to hear and determine all matters arising from or related to this Order, the KEIP, and the KERP. </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