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Order Granting Motion to Appoint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/>
          <w:sz w:val="24"/>
        </w:rPr>
        <w:t xml:space="preserve"> Equity Committee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UNITED STATES BANKRUPTCY COURT 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FOR THE [DISTRICT]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ORDER GRANTING [EQUITY HOLDER'S NAME OR AD HOC COMMITTEE]'S MOTION FOR ORDER DIRECTING THE APPOINTMENT OF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/>
          <w:sz w:val="24"/>
        </w:rPr>
        <w:t xml:space="preserve"> OFFICIAL COMMITTEE OF EQUITY SECURITY HOLDERS</w:t>
      </w:r>
    </w:p>
    <w:p>
      <w:pPr>
        <w:keepNext w:val="0"/>
        <w:spacing w:before="24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Upon the motion, dated [date] (the "</w:t>
      </w:r>
      <w:r>
        <w:rPr>
          <w:rFonts w:ascii="Times New Roman" w:hAnsi="Times New Roman" w:eastAsia="Times New Roman" w:cs="Times New Roman"/>
          <w:b w:val="0"/>
          <w:sz w:val="24"/>
        </w:rPr>
        <w:t>Motion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"), of [Movant], for entry of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 pursuant to </w:t>
      </w:r>
      <w:r>
        <w:rPr>
          <w:rFonts w:ascii="Times New Roman" w:hAnsi="Times New Roman" w:eastAsia="Times New Roman" w:cs="Times New Roman"/>
          <w:b w:val="0"/>
          <w:sz w:val="24"/>
        </w:rPr>
        <w:t>Section 1102(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)(2) of title 11 of the United States Code</w:t>
      </w:r>
      <w:r>
        <w:rPr>
          <w:rFonts w:ascii="Times New Roman" w:hAnsi="Times New Roman" w:eastAsia="Times New Roman" w:cs="Times New Roman"/>
          <w:b w:val="0"/>
          <w:sz w:val="24"/>
        </w:rPr>
        <w:t>, directing the Office of the United States Trustee (the "</w:t>
      </w:r>
      <w:r>
        <w:rPr>
          <w:rFonts w:ascii="Times New Roman" w:hAnsi="Times New Roman" w:eastAsia="Times New Roman" w:cs="Times New Roman"/>
          <w:b w:val="0"/>
          <w:sz w:val="24"/>
        </w:rPr>
        <w:t>U.S. Trustee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") to appoint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official committee of equity holders in the cases of the above-captioned debtors and debtors in possession and granting related relief, as more fully described in the Motion; and the Court having jurisdiction to consider the Motion and the relief requested therein in accordance with </w:t>
      </w:r>
      <w:r>
        <w:rPr>
          <w:rFonts w:ascii="Times New Roman" w:hAnsi="Times New Roman" w:eastAsia="Times New Roman" w:cs="Times New Roman"/>
          <w:b w:val="0"/>
          <w:sz w:val="24"/>
        </w:rPr>
        <w:t>28 U.S.C. §§ 157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and </w:t>
      </w:r>
      <w:r>
        <w:rPr>
          <w:rFonts w:ascii="Times New Roman" w:hAnsi="Times New Roman" w:eastAsia="Times New Roman" w:cs="Times New Roman"/>
          <w:b w:val="0"/>
          <w:sz w:val="24"/>
        </w:rPr>
        <w:t>1334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; and consideration of the Motion and the relief requested therein being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core proceeding pursuant to </w:t>
      </w:r>
      <w:r>
        <w:rPr>
          <w:rFonts w:ascii="Times New Roman" w:hAnsi="Times New Roman" w:eastAsia="Times New Roman" w:cs="Times New Roman"/>
          <w:b w:val="0"/>
          <w:sz w:val="24"/>
        </w:rPr>
        <w:t>28 U.S.C. § 157(b)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; and it appearing that venue of this proceeding and the Motion is proper pursuant to </w:t>
      </w:r>
      <w:r>
        <w:rPr>
          <w:rFonts w:ascii="Times New Roman" w:hAnsi="Times New Roman" w:eastAsia="Times New Roman" w:cs="Times New Roman"/>
          <w:b w:val="0"/>
          <w:sz w:val="24"/>
        </w:rPr>
        <w:t>28 U.S.C. §§ 1408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and </w:t>
      </w:r>
      <w:r>
        <w:rPr>
          <w:rFonts w:ascii="Times New Roman" w:hAnsi="Times New Roman" w:eastAsia="Times New Roman" w:cs="Times New Roman"/>
          <w:b w:val="0"/>
          <w:sz w:val="24"/>
        </w:rPr>
        <w:t>1409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; and due and proper notice of the Motion having been provided, and it appearing that no other or further notice need be provided; and the Court having held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hearing on the Motion; and upon all of the proceedings had before the Court; and the Court having determined that the relief requested in the Motion is appropriate pursuant to </w:t>
      </w:r>
      <w:r>
        <w:rPr>
          <w:rFonts w:ascii="Times New Roman" w:hAnsi="Times New Roman" w:eastAsia="Times New Roman" w:cs="Times New Roman"/>
          <w:b w:val="0"/>
          <w:sz w:val="24"/>
        </w:rPr>
        <w:t>11 U.S.C. § 1102(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)(2)</w:t>
      </w:r>
      <w:r>
        <w:rPr>
          <w:rFonts w:ascii="Times New Roman" w:hAnsi="Times New Roman" w:eastAsia="Times New Roman" w:cs="Times New Roman"/>
          <w:b w:val="0"/>
          <w:sz w:val="24"/>
        </w:rPr>
        <w:t>; and the Court having found and determined that the legal and factual bases set forth in the Motion establish just cause for the relief granted herein; and after due deliberation and sufficient cause appearing therefor, it is HEREBY ORDERED THAT: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Motion is granted as set forth herein.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120" w:after="0" w:line="260" w:lineRule="exact"/>
        <w:ind w:left="36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U.S. Trustee is directed to appoint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official committee of equity security holders within [number] days following the entry of this Order.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terms and conditions of this Order shall be effective and enforceable immediately upon its entry.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Court shall retain jurisdiction to hear and determine all matters arising from or related to the implementation and/or interpretation of this Order.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Dated: [date] 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[city, state]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UNITED STATES BANKRUPTCY JUDGE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