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Oregon Quitclaim Deed</w:t>
      </w:r>
    </w:p>
    <w:p>
      <w:pPr>
        <w:jc w:val="center"/>
      </w:pPr>
    </w:p>
    <w:p>
      <w:pPr>
        <w:jc w:val="both"/>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all and singular the described property, together with the tenements, hereditaments, and appurtenances belonging, or in anywise appertaining thereto, unto the Grantee(s), and their heirs and assigns forever.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Quitclaim Deed as of the date hereinunder.</w:t>
      </w:r>
    </w:p>
    <w:p>
      <w:pPr/>
    </w:p>
    <w:p>
      <w:pPr>
        <w:jc w:val="both"/>
      </w:pPr>
      <w:r>
        <w:rPr>
          <w:rFonts w:ascii="Times New Roman" w:hAnsi="Times New Roman" w:eastAsia="Times New Roman" w:cs="Times New Roman"/>
          <w:sz w:val="24"/>
        </w:rPr>
        <w:t>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THIS INSTRUMENT DOES NOT ALLOW USE OF THE PROPERTY DESCRIBED IN THIS INSTRUMENT IN VIOLATION OF APPLICABLE LAND USE LAWS AND REGULATIONS.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DETERMINE ANY LIMITS ON LAWSUITS AGAINST FARMING OR FOREST PRACTICES, AS DEFINED IN ORS 30.930, AND TO INQUIRE ABOUT THE RIGHTS OF NEIGHBORING PROPERTY OWNERS, IF ANY, UNDER ORS 195.300, 195.301 AND 195.305 TO 195.336 AND SECTIONS 5 TO 11, CHAPTER 424, OREGON LAWS 2007, AND SECTIONS 2 TO 9 AND 17, CHAPTER 855, OREGON LAWS 2009, AND SECTIONS 2 TO 7, CHAPTER 8, OREGON LAWS 2010.</w:t>
      </w:r>
    </w:p>
    <w:p>
      <w:pPr/>
    </w:p>
    <w:p>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Oregon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