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Outline of Brief in Opposition to Motion for Conditional FLSA Collective Action Certification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[Caption Page]</w:t>
      </w:r>
    </w:p>
    <w:p>
      <w:pPr>
        <w:keepNext w:val="0"/>
        <w:spacing w:before="120" w:after="0" w:line="260" w:lineRule="exact"/>
        <w:ind w:left="360" w:right="0" w:firstLine="0"/>
        <w:jc w:val="left"/>
      </w:pPr>
      <w:r>
        <w:rPr>
          <w:rFonts w:ascii="Times New Roman" w:hAnsi="Times New Roman" w:eastAsia="Times New Roman" w:cs="Times New Roman"/>
          <w:b w:val="0"/>
          <w:sz w:val="24"/>
        </w:rPr>
        <w:t>I.</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p>
    <w:p>
      <w:pPr>
        <w:keepNext w:val="0"/>
        <w:spacing w:before="120" w:after="0" w:line="260" w:lineRule="exact"/>
        <w:ind w:left="360" w:right="0" w:firstLine="0"/>
        <w:jc w:val="left"/>
      </w:pPr>
      <w:r>
        <w:rPr>
          <w:rFonts w:ascii="Times New Roman" w:hAnsi="Times New Roman" w:eastAsia="Times New Roman" w:cs="Times New Roman"/>
          <w:b w:val="0"/>
          <w:sz w:val="24"/>
        </w:rPr>
        <w:t>II.</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FACTS</w:t>
      </w:r>
    </w:p>
    <w:p>
      <w:pPr>
        <w:keepNext w:val="0"/>
        <w:spacing w:before="120" w:after="0" w:line="260" w:lineRule="exact"/>
        <w:ind w:left="36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Standard For FLSA Conditional Certification</w:t>
      </w:r>
    </w:p>
    <w:p>
      <w:pPr>
        <w:keepNext w:val="0"/>
        <w:spacing w:before="200" w:after="0" w:line="260" w:lineRule="exact"/>
        <w:ind w:left="1080" w:right="0" w:firstLine="0"/>
        <w:jc w:val="both"/>
      </w:pPr>
      <w:r>
        <w:rPr>
          <w:rFonts w:ascii="Times New Roman" w:hAnsi="Times New Roman" w:eastAsia="Times New Roman" w:cs="Times New Roman"/>
          <w:b w:val="0"/>
          <w:sz w:val="24"/>
        </w:rPr>
        <w:t>Conditional certification and notification of putative class members may not be granted unless Plaintiff establishes that she is “similarly situated” to the other potential members of her proposed collective-action class. See, e.g., Bishop v. Petrochem. Transp., L.L.C., 582 F. Supp. 2d 1290, 1294 (E.D. Cal. 2008). “Plaintiff[s] bear the burden of proving this.” Pfohl v. Farmers Ins. Group, 2004 U.S. Dist. LEXIS 6447, at *21 (C.D. Cal. Mar. 1, 2004).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Although the FLSA does not expressly define the statutory term “similarly situated,” nor has the Ninth Circuit definitively construed that term, district courts within this Circuit have generally 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“two-tiered approach,”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at this first stage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determination as to whether the plaintiffs are similarly situated based upon the pleadings and affidavits submitted by the parties. Pfohl, 2004 U.S. Dist. LEXIS 6447, at *7-9. This determination is fact-specific. Wynn v. NBC, 234 F. Supp. 2d 1067, 1082 (C.D. Cal. 2002); Trinh v. JPMorgan Chase &amp; Co., 2008 U.S. Dist. LEXIS 33016, at *7-8 (S.D. Cal. Apr. 22, 2008). In making this determination, courts look at several factors, including:</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whether there is evidence that the alleged activity was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 wide practice; (2) the extent of the similarities among the members of the proposed collective action, in particular whether the members all are challenging the same employment practice; and (3) the extent to which the members of the proposed action will rely on common evidence.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Trinh, 2008 U.S. Dist. LEXIS 33016, at *7-8. “Plaintiffs’ claims ‘must contain questions of both law and fact which are common to all employees engaged in the same character of work.’” McElmurry v. U.S. Bank National Association, 2004 U.S. Dist. LEXIS 15233, at *28 (D. Or. July 27, 2004), adoption noted in McElmurry, 2005 U.S. Dist. LEXIS 45683, at *1 (D. Or. Oct. 7, 2005).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or plan “may be relevant to the inquiry of certification, it cannot be the sole factor in light of the other issues under the FLSA.” Pfohl, 2004 U.S. Dist. LEXIS 6447, at *29.</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FLSA Standard Governing Plaintiff’s Claims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Has Not Carried His Burden of Proving That He Is “Similarly Situated” to Putative Class Members.</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 the Alternative, Plaintiff’s Motion Is Premature, the Collective-Action Class Definition is Overbroad, and the Proposed Notice Is Improper.</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Motion for Conditional Certification Is Premature.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Plaintiff Fails to Substantiate the Basis for Conditionally Certifying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Three-Year Nationwide Class.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Proposed Notice and Distribution Process Are Improper.</w:t>
      </w:r>
    </w:p>
    <w:p>
      <w:pPr>
        <w:keepNext w:val="0"/>
        <w:spacing w:before="120" w:after="0" w:line="260" w:lineRule="exact"/>
        <w:ind w:left="36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the foregoing reasons, this Court should deny with prejudice Plaintiffs’ motion for conditional certification. Alternatively, this Court should deny Plaintiffs’ motion as premature, or should at least limit any conditional certification to employees who work or worked in [location]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two years prior to the date of the notice.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200" w:after="0" w:line="260" w:lineRule="exact"/>
        <w:ind w:left="360" w:right="0" w:firstLine="0"/>
        <w:jc w:val="both"/>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