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Outline of Brief in Support of Motion for Decertification of FLSA Collective Action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[Caption Page]</w:t>
      </w:r>
    </w:p>
    <w:p>
      <w:pPr>
        <w:keepNext w:val="0"/>
        <w:spacing w:before="120" w:after="0" w:line="260" w:lineRule="exact"/>
        <w:ind w:left="360" w:right="0" w:firstLine="0"/>
        <w:jc w:val="left"/>
      </w:pPr>
      <w:r>
        <w:rPr>
          <w:rFonts w:ascii="Times New Roman" w:hAnsi="Times New Roman" w:eastAsia="Times New Roman" w:cs="Times New Roman"/>
          <w:b w:val="0"/>
          <w:sz w:val="24"/>
        </w:rPr>
        <w:t>I.</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120" w:after="0" w:line="260" w:lineRule="exact"/>
        <w:ind w:left="360" w:right="0" w:firstLine="0"/>
        <w:jc w:val="left"/>
      </w:pPr>
      <w:r>
        <w:rPr>
          <w:rFonts w:ascii="Times New Roman" w:hAnsi="Times New Roman" w:eastAsia="Times New Roman" w:cs="Times New Roman"/>
          <w:b w:val="0"/>
          <w:sz w:val="24"/>
        </w:rPr>
        <w:t>II.</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FACTS</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ARGUMENT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Standard for FLSA Final Collective Action Certification</w:t>
      </w:r>
    </w:p>
    <w:p>
      <w:pPr>
        <w:keepNext w:val="0"/>
        <w:spacing w:before="200" w:after="0" w:line="260" w:lineRule="exact"/>
        <w:ind w:left="1080" w:right="0" w:firstLine="0"/>
        <w:jc w:val="both"/>
      </w:pPr>
      <w:r>
        <w:rPr>
          <w:rFonts w:ascii="Times New Roman" w:hAnsi="Times New Roman" w:eastAsia="Times New Roman" w:cs="Times New Roman"/>
          <w:b w:val="0"/>
          <w:sz w:val="24"/>
        </w:rPr>
        <w:t>At the final certification stage, courts apply heightened scrutiny in determining whether Plaintiffs are similarly situated for purposes of the FLSA. See Myers v. Hertz Corp., 624 F.3d 537, 555 (2d Cir. 2010). “[T]he burden is on the plaintiff to prove that the other employees are similarly situated.” Indergit v. Rite Aid Corp., 293 F.R.D. 632, 639 (S.D.N.Y. 2013).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Although the FLSA does not expressly define the statutory term “similarly situated,” “district courts generally analyze whether the following factors counsel for or against maintaining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collective action: (1) disparate factual and employment settings of the individual plaintiffs; (2) defenses available to defendants which appear to be individual to each plaintiff; and (3) fairness and procedural considerations.” DeSilva v. North Shore-Long Island Jewish Health Sys., Inc., 2014 U.S. Dist. LEXIS 77669, at *11-12 (E.D.N.Y. June 5, 2014) (collecting cases).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FLSA Standard Governing Plaintiff’s Claims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 Has Not Carried Her Burden of Proving That She Is “Similarly Situated” to Other Members of Her Putative Class.</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For the foregoing reasons, this Court should grant with prejudice Defendant’s motion to decertify Plaintiffs’ FLSA Section 216(b) collective action.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200" w:after="0" w:line="260" w:lineRule="exact"/>
        <w:ind w:left="360" w:right="0" w:firstLine="0"/>
        <w:jc w:val="both"/>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/s/</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