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Paid Time Off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Except in cases of emergency or illness, employees must request PTO in writing using this form at least two weeks in advance.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employee's use of PTO requires the approval of his/her Manager.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Specify the date(s) on which you will require leave: __________________________________________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Reason for leave (please select one):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Personal Business (e.g., vacation, graduations, house closings, and leave to care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ill or injured family member which does not otherwise constitute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FMLA-qualifying reason (see below))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Your own injury or illness which does not otherwise constitute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FMLA-qualifying reason (see below):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 Family and Medical Leave Act (FMLA) qualifying reason: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birth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child, or placement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child with you for adoption or foster care.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Your own serious health condition.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Because you are needed to care for your ____ spouse; ___ child; ____ parent due to his/her serious health condition.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Because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qualifying exigency arising out of the fact that your ____ spouse; ___ son or daughter; ____ parent is on covered active duty or call to covered active duty status with the Armed Forces.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Because you are the ____ spouse; ___ son or daughter; ____ parent; ____ next of kin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covered service member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serious injury or illness.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have any questions about what constitutes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FMLA-qualifying reason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leave, please speak to [Human Resources].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