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Parent Company Press Release Announcing Spin-off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[Parent Company] Declares Spin-Off Dividend of [Spin-off Subsidiary] Shares; Record, Distribution Dates and Final Distribution Ratio Announced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[Parent Company] ([Trading Symbol]) (“[Parent]”), today announced the timing and details regarding the spin-off of [Spin-off Subsidiary] from [Parent].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[Parent] Board of Directors has approved the final distribution ratio and declared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 rata dividend of the outstanding shares of [Spin-off Subsidiary] common stock, which will result in the complete legal and structural separation of the two companies. The distribution is subject to the satisfaction or waiver of certain conditions.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the distribution date of [distribution date], [Parent] shareholders of record as of 5:00 p.m., New York Time, [record date], the record date for the distribution, will receive [distribution ratio] shares [Spin-off Subsidiary] common stock for every [distribution ratio] shares of [Parent] common stock they hold on the record date.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Fractional shares of [Spin-off Subsidiary] common stock will not be distributed to [Parent] shareholders. Instead, the fractional shares of [Spin-off Subsidiary] common stock will be aggregated and sold in the open market, with the net proceeds distributed ratably in cash payments to the [Parent] shareholders who would otherwise receive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fractional share of [Spin-off Subsidiary] common stock.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 action or payment is required by [Parent] shareholders to receive the shares of [Spin-off Subsidiary] common stock. Shareholders who hold [Parent] common stock on the record date will receive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book-entry account statement reflecting their ownership of [Spin-off Subsidiary] common stock. [Spin-off Subsidiary] will not issue paper stock certificates.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Information Statement containing details regarding the distribution, tax implications, business and management of [Spin-off Subsidiary] following the spin-off,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of Internet Availability of Information Statement Materials containing instructions on how to access such Information Statement, will be mailed to [Parent] shareholders prior to the distribution date.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[Parent] shareholders are urged to consult with their tax and/or financial advisors with respect to the tax and investment consequences, as applicable, of the spin-off.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About [Parent]: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 description]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