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Partial Lien Release Letter</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[letterhead of collateral agent]</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borrower]</w:t>
      </w:r>
    </w:p>
    <w:p>
      <w:pPr>
        <w:keepNext w:val="0"/>
        <w:spacing w:before="200" w:after="0" w:line="260" w:lineRule="exact"/>
        <w:ind w:left="360" w:right="0" w:firstLine="0"/>
        <w:jc w:val="both"/>
      </w:pPr>
      <w:r>
        <w:rPr>
          <w:rFonts w:ascii="Times New Roman" w:hAnsi="Times New Roman" w:eastAsia="Times New Roman" w:cs="Times New Roman"/>
          <w:b w:val="0"/>
          <w:sz w:val="24"/>
        </w:rPr>
        <w:t>Re: Partial Release of Liens</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Reference is made to that certain Credit Agreement, dated as of [date], among [name of borrower], as Borrower, the Guarantors party thereto, [name of agent], as the Administrative Agent and Collateral Agent, [the Issuing Bank,] [the Swing Line Lender,] and the banks and financial institutions party thereto, as Lenders, (as amended, supplemented or otherwise modified from time to time, the “</w:t>
      </w:r>
      <w:r>
        <w:rPr>
          <w:rFonts w:ascii="Times New Roman" w:hAnsi="Times New Roman" w:eastAsia="Times New Roman" w:cs="Times New Roman"/>
          <w:b w:val="0"/>
          <w:sz w:val="24"/>
        </w:rPr>
        <w:t>Credit Agreement</w:t>
      </w:r>
      <w:r>
        <w:rPr>
          <w:rFonts w:ascii="Times New Roman" w:hAnsi="Times New Roman" w:eastAsia="Times New Roman" w:cs="Times New Roman"/>
          <w:b w:val="0"/>
          <w:sz w:val="24"/>
        </w:rPr>
        <w:t>”). Capitalized terms used in this letter agreement (this “</w:t>
      </w:r>
      <w:r>
        <w:rPr>
          <w:rFonts w:ascii="Times New Roman" w:hAnsi="Times New Roman" w:eastAsia="Times New Roman" w:cs="Times New Roman"/>
          <w:b w:val="0"/>
          <w:sz w:val="24"/>
        </w:rPr>
        <w:t>Partial Release Letter</w:t>
      </w:r>
      <w:r>
        <w:rPr>
          <w:rFonts w:ascii="Times New Roman" w:hAnsi="Times New Roman" w:eastAsia="Times New Roman" w:cs="Times New Roman"/>
          <w:b w:val="0"/>
          <w:sz w:val="24"/>
        </w:rPr>
        <w:t>”) and not otherwise defined herein shall have the respective meanings ascribed to them in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that certain [description of purchase agreement] (the “</w:t>
      </w:r>
      <w:r>
        <w:rPr>
          <w:rFonts w:ascii="Times New Roman" w:hAnsi="Times New Roman" w:eastAsia="Times New Roman" w:cs="Times New Roman"/>
          <w:b w:val="0"/>
          <w:sz w:val="24"/>
        </w:rPr>
        <w:t>Purchase Agreement</w:t>
      </w:r>
      <w:r>
        <w:rPr>
          <w:rFonts w:ascii="Times New Roman" w:hAnsi="Times New Roman" w:eastAsia="Times New Roman" w:cs="Times New Roman"/>
          <w:b w:val="0"/>
          <w:sz w:val="24"/>
        </w:rPr>
        <w:t>”), to be dated on or around [planned disposition date], the Borrower will sell [the assets described on Schedule 1] (the “</w:t>
      </w:r>
      <w:r>
        <w:rPr>
          <w:rFonts w:ascii="Times New Roman" w:hAnsi="Times New Roman" w:eastAsia="Times New Roman" w:cs="Times New Roman"/>
          <w:b w:val="0"/>
          <w:sz w:val="24"/>
        </w:rPr>
        <w:t>Specified Assets</w:t>
      </w:r>
      <w:r>
        <w:rPr>
          <w:rFonts w:ascii="Times New Roman" w:hAnsi="Times New Roman" w:eastAsia="Times New Roman" w:cs="Times New Roman"/>
          <w:b w:val="0"/>
          <w:sz w:val="24"/>
        </w:rPr>
        <w:t>”) for the consideration set forth in the Purchase Agreement (the “</w:t>
      </w:r>
      <w:r>
        <w:rPr>
          <w:rFonts w:ascii="Times New Roman" w:hAnsi="Times New Roman" w:eastAsia="Times New Roman" w:cs="Times New Roman"/>
          <w:b w:val="0"/>
          <w:sz w:val="24"/>
        </w:rPr>
        <w:t>Disposition</w:t>
      </w:r>
      <w:r>
        <w:rPr>
          <w:rFonts w:ascii="Times New Roman" w:hAnsi="Times New Roman" w:eastAsia="Times New Roman" w:cs="Times New Roman"/>
          <w:b w:val="0"/>
          <w:sz w:val="24"/>
        </w:rPr>
        <w:t>”). In order to consummate the Disposition, the Borrower has requested that the Collateral Agent acknowledge and confirm the release of all security interests and Liens in favor of the Collateral Agent for the benefit of the lenders.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the borrower representative that is providing the certification] in capacity as the duly appointed [title] of the Borrower, hereby certifies on behalf of the Borrower that the Disposition is permitted pursuant to Section [cross-reference to applicable sections of the credit agreement that permit the sale of the subject collateral] of the Credit Agreement and that no Default or Event of Default will occur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Disposition or the release of the Specified Assets.]</w:t>
      </w:r>
    </w:p>
    <w:p>
      <w:pPr>
        <w:keepNext w:val="0"/>
        <w:spacing w:before="200" w:after="0" w:line="260" w:lineRule="exact"/>
        <w:ind w:left="360" w:right="0" w:firstLine="0"/>
        <w:jc w:val="both"/>
      </w:pPr>
      <w:r>
        <w:rPr>
          <w:rFonts w:ascii="Times New Roman" w:hAnsi="Times New Roman" w:eastAsia="Times New Roman" w:cs="Times New Roman"/>
          <w:b w:val="0"/>
          <w:sz w:val="24"/>
        </w:rPr>
        <w:t>Effective upon consummation of the Disposition, the Collateral Agent, for itself and its successors, representatives, agents, and assigns, hereby terminates, releases and discharges its security interests in and to the Specified Assets arising under any Loan Document, and any other rights or interests it may have with respect thereto, and reassigns to Borrower any and all such rights and interests.</w:t>
      </w:r>
    </w:p>
    <w:p>
      <w:pPr>
        <w:keepNext w:val="0"/>
        <w:spacing w:before="200" w:after="0" w:line="260" w:lineRule="exact"/>
        <w:ind w:left="360" w:right="0" w:firstLine="0"/>
        <w:jc w:val="both"/>
      </w:pPr>
      <w:r>
        <w:rPr>
          <w:rFonts w:ascii="Times New Roman" w:hAnsi="Times New Roman" w:eastAsia="Times New Roman" w:cs="Times New Roman"/>
          <w:b w:val="0"/>
          <w:sz w:val="24"/>
        </w:rPr>
        <w:t>[In reliance on the foregoing certification,] [The/the] Collateral Agent agrees to execute and deliver to the Borrower, and authorizes the filing of, such UCC amendments or termination statements as the Borrower may reasonably request from time to time to further evidence the foregoing.</w:t>
      </w:r>
    </w:p>
    <w:p>
      <w:pPr>
        <w:keepNext w:val="0"/>
        <w:spacing w:before="200" w:after="0" w:line="260" w:lineRule="exact"/>
        <w:ind w:left="360" w:right="0" w:firstLine="0"/>
        <w:jc w:val="both"/>
      </w:pPr>
      <w:r>
        <w:rPr>
          <w:rFonts w:ascii="Times New Roman" w:hAnsi="Times New Roman" w:eastAsia="Times New Roman" w:cs="Times New Roman"/>
          <w:b w:val="0"/>
          <w:sz w:val="24"/>
        </w:rPr>
        <w:t>The Disposition shall not alter, vary or diminish the force and effect of the Security Agreement or the other Loan Documents with respect to the remainder of the collateral and any and all liens and security interests created by any of the Loan Documents, or otherwise, in favor of the Collateral Agent shall remain in full force and effect with respect to the remaining collateral. Except as modified pursuant to the terms hereof, no other changes or modifications to the Loan Documents are intended or implied and in all other respects the Loan Documents are hereby specifically ratified and confirmed by all parties hereto as of the effective date hereof.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page of this Partial Release Letter by facsimile transmission or other electronic mail (e.g. “pdf” or “tif”) shall be effective as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manually executed counterpart of this Partial Release Letter. This Partial Release Letter may be executed in any number of counterparts, and by the different parties hereto on separate counterparts, each of which counterpart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together constitute one and the same instrument. This Partial Release Letter shall be governed by, and construed in accordance with, the law of the State of [jurisdiction] without regard to principles of conflicts of law to the extent that the application of the laws of another jurisdiction will be required thereby.</w:t>
      </w:r>
    </w:p>
    <w:p>
      <w:pPr>
        <w:keepNext w:val="0"/>
        <w:spacing w:before="200" w:after="0" w:line="260" w:lineRule="exact"/>
        <w:ind w:left="360" w:right="0" w:firstLine="0"/>
        <w:jc w:val="righ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of collateral agent]</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Acknowledged and Agreed:</w:t>
      </w:r>
    </w:p>
    <w:p>
      <w:pPr>
        <w:keepNext w:val="0"/>
        <w:spacing w:before="120" w:after="0" w:line="260" w:lineRule="exact"/>
        <w:ind w:left="360" w:right="0" w:firstLine="0"/>
        <w:jc w:val="left"/>
      </w:pPr>
      <w:r>
        <w:rPr>
          <w:rFonts w:ascii="Times New Roman" w:hAnsi="Times New Roman" w:eastAsia="Times New Roman" w:cs="Times New Roman"/>
          <w:b w:val="0"/>
          <w:sz w:val="24"/>
        </w:rPr>
        <w:t>[name of borrower]</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RELEASED ASSETS.</w:t>
      </w:r>
    </w:p>
    <w:p>
      <w:pPr>
        <w:keepNext w:val="0"/>
        <w:spacing w:before="200" w:after="0" w:line="260" w:lineRule="exact"/>
        <w:ind w:left="720" w:right="0" w:firstLine="0"/>
        <w:jc w:val="center"/>
      </w:pPr>
      <w:r>
        <w:rPr>
          <w:rFonts w:ascii="Times New Roman" w:hAnsi="Times New Roman" w:eastAsia="Times New Roman" w:cs="Times New Roman"/>
          <w:b w:val="0"/>
          <w:sz w:val="24"/>
        </w:rPr>
        <w:t>[description of assets subject to lien release]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