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PENNSYLVANIA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 xml:space="preserve">This power of attorney shall be governed under the laws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We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