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Perfection Certificate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Reference is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the Credit Agreement, dated as of [date], (as the same may be amended, restated, amended and restated, supplemented or otherwise modified, refinanced or replaced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xml:space="preserve">”),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incorporation / formation / organization] [type of entity]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[the lenders or other financial institutions or entities from time to time party thereto] (the “</w:t>
      </w:r>
      <w:r>
        <w:rPr>
          <w:rFonts w:ascii="Times New Roman" w:hAnsi="Times New Roman" w:eastAsia="Times New Roman" w:cs="Times New Roman"/>
          <w:b w:val="0"/>
          <w:sz w:val="24"/>
        </w:rPr>
        <w:t>Lenders</w:t>
      </w:r>
      <w:r>
        <w:rPr>
          <w:rFonts w:ascii="Times New Roman" w:hAnsi="Times New Roman" w:eastAsia="Times New Roman" w:cs="Times New Roman"/>
          <w:b w:val="0"/>
          <w:sz w:val="24"/>
        </w:rPr>
        <w:t>”), and [name of administrative agent], as administrative agent (in such capacity, the “</w:t>
      </w:r>
      <w:r>
        <w:rPr>
          <w:rFonts w:ascii="Times New Roman" w:hAnsi="Times New Roman" w:eastAsia="Times New Roman" w:cs="Times New Roman"/>
          <w:b w:val="0"/>
          <w:sz w:val="24"/>
        </w:rPr>
        <w:t>Administrative Agent</w:t>
      </w:r>
      <w:r>
        <w:rPr>
          <w:rFonts w:ascii="Times New Roman" w:hAnsi="Times New Roman" w:eastAsia="Times New Roman" w:cs="Times New Roman"/>
          <w:b w:val="0"/>
          <w:sz w:val="24"/>
        </w:rPr>
        <w:t>”) and collateral agent (in such capacity, the “</w:t>
      </w:r>
      <w:r>
        <w:rPr>
          <w:rFonts w:ascii="Times New Roman" w:hAnsi="Times New Roman" w:eastAsia="Times New Roman" w:cs="Times New Roman"/>
          <w:b w:val="0"/>
          <w:sz w:val="24"/>
        </w:rPr>
        <w:t>Collateral Agent</w:t>
      </w:r>
      <w:r>
        <w:rPr>
          <w:rFonts w:ascii="Times New Roman" w:hAnsi="Times New Roman" w:eastAsia="Times New Roman" w:cs="Times New Roman"/>
          <w:b w:val="0"/>
          <w:sz w:val="24"/>
        </w:rPr>
        <w:t>”) for the benefit of the Secured Parties, and (b) the Security Agreement, dated as of the date hereof (as the same may be amended, restated, amended and restated, supplemented or otherwise modified from time to time, the “</w:t>
      </w:r>
      <w:r>
        <w:rPr>
          <w:rFonts w:ascii="Times New Roman" w:hAnsi="Times New Roman" w:eastAsia="Times New Roman" w:cs="Times New Roman"/>
          <w:b w:val="0"/>
          <w:sz w:val="24"/>
        </w:rPr>
        <w:t>Security Agreement</w:t>
      </w:r>
      <w:r>
        <w:rPr>
          <w:rFonts w:ascii="Times New Roman" w:hAnsi="Times New Roman" w:eastAsia="Times New Roman" w:cs="Times New Roman"/>
          <w:b w:val="0"/>
          <w:sz w:val="24"/>
        </w:rPr>
        <w:t xml:space="preserve">”), among the Borrower, each of the Subsidiaries of the Borrower listed on the signature pages thereto or that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pursuant to Section [security agreement section reference to joinder of additional grantors] thereof (each such entity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Subsidiary Grantor</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Subsidiary Grantors</w:t>
      </w:r>
      <w:r>
        <w:rPr>
          <w:rFonts w:ascii="Times New Roman" w:hAnsi="Times New Roman" w:eastAsia="Times New Roman" w:cs="Times New Roman"/>
          <w:b w:val="0"/>
          <w:sz w:val="24"/>
        </w:rPr>
        <w:t>”; the Subsidiary Grantors and the Borrower are referred to collectively as the “</w:t>
      </w:r>
      <w:r>
        <w:rPr>
          <w:rFonts w:ascii="Times New Roman" w:hAnsi="Times New Roman" w:eastAsia="Times New Roman" w:cs="Times New Roman"/>
          <w:b w:val="0"/>
          <w:sz w:val="24"/>
        </w:rPr>
        <w:t>Grantors</w:t>
      </w:r>
      <w:r>
        <w:rPr>
          <w:rFonts w:ascii="Times New Roman" w:hAnsi="Times New Roman" w:eastAsia="Times New Roman" w:cs="Times New Roman"/>
          <w:b w:val="0"/>
          <w:sz w:val="24"/>
        </w:rPr>
        <w:t>”), and the Collateral Agent.</w:t>
      </w:r>
    </w:p>
    <w:p>
      <w:pPr>
        <w:keepNext w:val="0"/>
        <w:spacing w:before="200" w:after="0" w:line="260" w:lineRule="exact"/>
        <w:ind w:left="360" w:right="0" w:firstLine="0"/>
        <w:jc w:val="both"/>
      </w:pPr>
      <w:r>
        <w:rPr>
          <w:rFonts w:ascii="Times New Roman" w:hAnsi="Times New Roman" w:eastAsia="Times New Roman" w:cs="Times New Roman"/>
          <w:b w:val="0"/>
          <w:sz w:val="24"/>
        </w:rPr>
        <w:t>Unless otherwise defined herein, terms defined in the Credit Agreement or Security Agreement and used herein shall have the meanings given to them in the Credit Agreement or Security Agreement, as applicable. The undersigned Responsible Officer of the Borrower hereby certifies to the Collateral Agent and each other Secured Party, solely in respect of the Borrower and each Subsidiary Grantor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Names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each Grantor, (i) the exact legal name, as such name appears in its respective certificate of incorporation, certificate of formation or other organizational document and (ii) the type of entity, is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forth below is each other legal name (including trade names or d/b/as) each Grantor has had in the past five (5) years, together with the date of the relevant change: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no Grantor has changed its identity or corporate structure in any way within the past five (5) years. Changes in identity or corporate structure would include mergers, consolidations and acquisitions, as well as any change in the form, nature or jurisdiction of organization. If any such change has occurred, include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the information required by Sections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to each acquiree or constituent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forth below is the Organizational Identification Number, if any, issued by the jurisdiction of formation of each Grantor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organization (if the state does not issue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state “None”):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forth below is the Federal Taxpayer Identification Number of each Grantor: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Current Locations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executive office of each Grantor is located at the address set forth opposite its name below: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jurisdiction of incorporation, organization or formation of each Grantor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organization is set forth opposite its name below and any other jurisdiction in which each Grantor may have been registered in the past six (6) months, if any, together with the date of relevant change: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are all other locations in the United States of America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maintains any books or records relating to any of the Collateral consisting of accounts, instruments, chattel paper, general intangibles or mobile goods: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are all other locations in the United States of America where any of the Collateral consisting of inventory or equipment is located: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are names and addresses of all persons or entities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such as lessees, consignees, processors or warehousemen, which have possession or are intended to have possession of any Collateral consisting of instruments, chattel paper, inventory or equipment and the nature of such possession: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[Unusual/Extraordinary] Transactions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hereto, all Accounts have been originated by the Grantors and [all assets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$[_______] / all of the Collateral] has been originated by the Grantors in the ordinary course of business or has been acquired in the ordinary course of business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 the business of selling goods of that kind.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File Search Reports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File search reports have been obtained from (i) the Uniform Commercial Code filing office of each Grantor’s jurisdiction of [incorporation / formation / organization] and (ii) each local jurisdiction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with respect to each legal name set forth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for federal and local judgment liens and federal and state tax liens[, and such search reports reflect no liens against any of the Collateral other than those permitted under the Credit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UCC Filings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are copies of each financing statement filed or to be filed in the proper Uniform Commercial Code filing office in the jurisdiction in which each Grantor is organized, in each case, as set forth with respect to such Grantor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Schedule of Filings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setting forth, with respect to the filings described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and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each filing and the filing office in which such filing is to be made.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Stock Ownership and Other Equity Interests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the issued and outstanding stock, partnership interests, limited liability company membership interests or other equity interests of the Borrower and each of its Subsidiaries and the record and beneficial owners and percentage ownership of such stock, partnership interests, membership interests or other equity interests. Also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is each equity investment of the Borrower or any Subsidiary that represents 50% or less of the equity of the entity in which such investment was made.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Debt Instruments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promissory notes and other evidence of indebtedness held by each Grantor that are required to be pledged under the Pledge Agreement including all intercompany notes between the Borrower and each Subsidiary of the Borrower and each Subsidiary of the Borrower and each other such Subsidiary [in excess of $[_____] in aggregate principal amount].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Intellectual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7(</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proper form for filing with the United States Patent and Trademark Office,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of each Grantor’s Patents, Patent Licenses, Trademarks and Trademark Licenses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in its own name as of the date hereof, indicating for each such item, as applicable, the application and/or registration number, date and jurisdiction of filing and/or issuance, and the identity of the current applicant or registered owner.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7(B)</w:t>
      </w:r>
      <w:r>
        <w:rPr>
          <w:rFonts w:ascii="Times New Roman" w:hAnsi="Times New Roman" w:eastAsia="Times New Roman" w:cs="Times New Roman"/>
          <w:b w:val="0"/>
          <w:sz w:val="24"/>
        </w:rPr>
        <w:t xml:space="preserve"> in proper form for filing with the United States Copyright Office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of each Grantor’s Copyrights and Copyright Licenses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in its own name as of the date hereof, indicating for each such item, as applicable, the application and/or registration number, date and jurisdiction of filing and/or issuance, and the identity of the current applicant or registered owner.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7(C)</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of each Grantor’s Domain Names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in its own name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Commercial Tort Claims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Commercial Tort Claims in excess of $[250,000] held by each Grantor,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Real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mortgaged property as of the Closing Date, including the exact address, whether such property is owned or leased and if such property is owned, the estimated value thereof or if such property is leased, the amount of monthly rent payments, as well as the filing offices for mortgages as of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Statements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are the duly authorized terminations statements in the appropriate form for filing in each applicable jurisdiction for the UCC Filing Statements filed pursuant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and each lien described therein.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Letter-of-Credit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Letters of Credit issued in favor of each Grantor, as beneficiary thereunder.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Deposit Accounts and Securities Accounts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hereto as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all deposit and securities accounts maintained by each Grantor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whether the account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or securities account, (b) the name of the depository bank or securities intermediary, (c) the account number, (d) the purpose of such account and (e) the approximate average balance and highest daily balance regularly maintained in such account.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duly executed this certificate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 Identity/Corporate Structure Changes.</w:t>
      </w:r>
    </w:p>
    <w:p>
      <w:pPr>
        <w:keepNext w:val="0"/>
        <w:spacing w:before="120" w:after="0" w:line="260" w:lineRule="exact"/>
        <w:ind w:left="360" w:right="0" w:firstLine="0"/>
        <w:jc w:val="left"/>
      </w:pPr>
      <w:r>
        <w:rPr>
          <w:rFonts w:ascii="Times New Roman" w:hAnsi="Times New Roman" w:eastAsia="Times New Roman" w:cs="Times New Roman"/>
          <w:b w:val="0"/>
          <w:sz w:val="24"/>
        </w:rPr>
        <w:t>Schedule 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[Unusual/Extraordinary] Transactions.</w:t>
      </w:r>
    </w:p>
    <w:p>
      <w:pPr>
        <w:keepNext w:val="0"/>
        <w:spacing w:before="120" w:after="0" w:line="260" w:lineRule="exact"/>
        <w:ind w:left="360" w:right="0" w:firstLine="0"/>
        <w:jc w:val="left"/>
      </w:pPr>
      <w:r>
        <w:rPr>
          <w:rFonts w:ascii="Times New Roman" w:hAnsi="Times New Roman" w:eastAsia="Times New Roman" w:cs="Times New Roman"/>
          <w:b w:val="0"/>
          <w:sz w:val="24"/>
        </w:rPr>
        <w:t>Schedule 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 Statements Attached.</w:t>
      </w:r>
    </w:p>
    <w:p>
      <w:pPr>
        <w:keepNext w:val="0"/>
        <w:spacing w:before="120" w:after="0" w:line="260" w:lineRule="exact"/>
        <w:ind w:left="360" w:right="0" w:firstLine="0"/>
        <w:jc w:val="left"/>
      </w:pPr>
      <w:r>
        <w:rPr>
          <w:rFonts w:ascii="Times New Roman" w:hAnsi="Times New Roman" w:eastAsia="Times New Roman" w:cs="Times New Roman"/>
          <w:b w:val="0"/>
          <w:sz w:val="24"/>
        </w:rPr>
        <w:t>Schedule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Uniform Commercial Code Filings.</w:t>
      </w:r>
    </w:p>
    <w:p>
      <w:pPr>
        <w:keepNext w:val="0"/>
        <w:spacing w:before="120" w:after="0" w:line="260" w:lineRule="exact"/>
        <w:ind w:left="360" w:right="0" w:firstLine="0"/>
        <w:jc w:val="left"/>
      </w:pPr>
      <w:r>
        <w:rPr>
          <w:rFonts w:ascii="Times New Roman" w:hAnsi="Times New Roman" w:eastAsia="Times New Roman" w:cs="Times New Roman"/>
          <w:b w:val="0"/>
          <w:sz w:val="24"/>
        </w:rPr>
        <w:t>Schedule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Ownership and Other Equity Interests.</w:t>
      </w:r>
    </w:p>
    <w:p>
      <w:pPr>
        <w:keepNext w:val="0"/>
        <w:spacing w:before="120" w:after="0" w:line="260" w:lineRule="exact"/>
        <w:ind w:left="360" w:right="0" w:firstLine="0"/>
        <w:jc w:val="left"/>
      </w:pPr>
      <w:r>
        <w:rPr>
          <w:rFonts w:ascii="Times New Roman" w:hAnsi="Times New Roman" w:eastAsia="Times New Roman" w:cs="Times New Roman"/>
          <w:b w:val="0"/>
          <w:sz w:val="24"/>
        </w:rPr>
        <w:t>Schedule 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 Instruments.</w:t>
      </w:r>
    </w:p>
    <w:p>
      <w:pPr>
        <w:keepNext w:val="0"/>
        <w:spacing w:before="120" w:after="0" w:line="260" w:lineRule="exact"/>
        <w:ind w:left="360" w:right="0" w:firstLine="0"/>
        <w:jc w:val="left"/>
      </w:pPr>
      <w:r>
        <w:rPr>
          <w:rFonts w:ascii="Times New Roman" w:hAnsi="Times New Roman" w:eastAsia="Times New Roman" w:cs="Times New Roman"/>
          <w:b w:val="0"/>
          <w:sz w:val="24"/>
        </w:rPr>
        <w:t>Schedule 7(</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Registrations:</w:t>
      </w:r>
    </w:p>
    <w:p>
      <w:pPr>
        <w:keepNext w:val="0"/>
        <w:spacing w:before="200" w:after="0" w:line="260" w:lineRule="exact"/>
        <w:ind w:left="720" w:right="0" w:firstLine="0"/>
        <w:jc w:val="both"/>
      </w:pPr>
      <w:r>
        <w:rPr>
          <w:rFonts w:ascii="Times New Roman" w:hAnsi="Times New Roman" w:eastAsia="Times New Roman" w:cs="Times New Roman"/>
          <w:b w:val="0"/>
          <w:sz w:val="24"/>
        </w:rPr>
        <w:t>Applications:</w:t>
      </w:r>
    </w:p>
    <w:p>
      <w:pPr>
        <w:keepNext w:val="0"/>
        <w:spacing w:before="200" w:after="0" w:line="260" w:lineRule="exact"/>
        <w:ind w:left="720" w:right="0" w:firstLine="0"/>
        <w:jc w:val="both"/>
      </w:pPr>
      <w:r>
        <w:rPr>
          <w:rFonts w:ascii="Times New Roman" w:hAnsi="Times New Roman" w:eastAsia="Times New Roman" w:cs="Times New Roman"/>
          <w:b w:val="0"/>
          <w:sz w:val="24"/>
        </w:rPr>
        <w:t>TRADEMARKS</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Registrations:</w:t>
      </w:r>
    </w:p>
    <w:p>
      <w:pPr>
        <w:keepNext w:val="0"/>
        <w:spacing w:before="200" w:after="0" w:line="260" w:lineRule="exact"/>
        <w:ind w:left="720" w:right="0" w:firstLine="0"/>
        <w:jc w:val="both"/>
      </w:pPr>
      <w:r>
        <w:rPr>
          <w:rFonts w:ascii="Times New Roman" w:hAnsi="Times New Roman" w:eastAsia="Times New Roman" w:cs="Times New Roman"/>
          <w:b w:val="0"/>
          <w:sz w:val="24"/>
        </w:rPr>
        <w:t>Applications:</w:t>
      </w:r>
    </w:p>
    <w:p>
      <w:pPr>
        <w:keepNext w:val="0"/>
        <w:spacing w:before="120" w:after="0" w:line="260" w:lineRule="exact"/>
        <w:ind w:left="360" w:right="0" w:firstLine="0"/>
        <w:jc w:val="left"/>
      </w:pPr>
      <w:r>
        <w:rPr>
          <w:rFonts w:ascii="Times New Roman" w:hAnsi="Times New Roman" w:eastAsia="Times New Roman" w:cs="Times New Roman"/>
          <w:b w:val="0"/>
          <w:sz w:val="24"/>
        </w:rPr>
        <w:t>Schedule 7(B)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Copyrights.</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Registrations:</w:t>
      </w:r>
    </w:p>
    <w:p>
      <w:pPr>
        <w:keepNext w:val="0"/>
        <w:spacing w:before="200" w:after="0" w:line="260" w:lineRule="exact"/>
        <w:ind w:left="720" w:right="0" w:firstLine="0"/>
        <w:jc w:val="both"/>
      </w:pPr>
      <w:r>
        <w:rPr>
          <w:rFonts w:ascii="Times New Roman" w:hAnsi="Times New Roman" w:eastAsia="Times New Roman" w:cs="Times New Roman"/>
          <w:b w:val="0"/>
          <w:sz w:val="24"/>
        </w:rPr>
        <w:t>Applications:</w:t>
      </w:r>
    </w:p>
    <w:p>
      <w:pPr>
        <w:keepNext w:val="0"/>
        <w:spacing w:before="120" w:after="0" w:line="260" w:lineRule="exact"/>
        <w:ind w:left="360" w:right="0" w:firstLine="0"/>
        <w:jc w:val="left"/>
      </w:pPr>
      <w:r>
        <w:rPr>
          <w:rFonts w:ascii="Times New Roman" w:hAnsi="Times New Roman" w:eastAsia="Times New Roman" w:cs="Times New Roman"/>
          <w:b w:val="0"/>
          <w:sz w:val="24"/>
        </w:rPr>
        <w:t>Schedule 7(C)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Domain Names.</w:t>
      </w:r>
    </w:p>
    <w:p>
      <w:pPr>
        <w:keepNext w:val="0"/>
        <w:spacing w:before="120" w:after="0" w:line="260" w:lineRule="exact"/>
        <w:ind w:left="360" w:right="0" w:firstLine="0"/>
        <w:jc w:val="left"/>
      </w:pPr>
      <w:r>
        <w:rPr>
          <w:rFonts w:ascii="Times New Roman" w:hAnsi="Times New Roman" w:eastAsia="Times New Roman" w:cs="Times New Roman"/>
          <w:b w:val="0"/>
          <w:sz w:val="24"/>
        </w:rPr>
        <w:t>Schedule 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Commercial Tort Claims.</w:t>
      </w:r>
    </w:p>
    <w:p>
      <w:pPr>
        <w:keepNext w:val="0"/>
        <w:spacing w:before="120" w:after="0" w:line="260" w:lineRule="exact"/>
        <w:ind w:left="360" w:right="0" w:firstLine="0"/>
        <w:jc w:val="left"/>
      </w:pPr>
      <w:r>
        <w:rPr>
          <w:rFonts w:ascii="Times New Roman" w:hAnsi="Times New Roman" w:eastAsia="Times New Roman" w:cs="Times New Roman"/>
          <w:b w:val="0"/>
          <w:sz w:val="24"/>
        </w:rPr>
        <w:t>Schedule 9.</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p>
    <w:p>
      <w:pPr>
        <w:keepNext w:val="0"/>
        <w:spacing w:before="120" w:after="0" w:line="260" w:lineRule="exact"/>
        <w:ind w:left="360" w:right="0" w:firstLine="0"/>
        <w:jc w:val="left"/>
      </w:pPr>
      <w:r>
        <w:rPr>
          <w:rFonts w:ascii="Times New Roman" w:hAnsi="Times New Roman" w:eastAsia="Times New Roman" w:cs="Times New Roman"/>
          <w:b w:val="0"/>
          <w:sz w:val="24"/>
        </w:rPr>
        <w:t>Schedule 10.</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Statements Attached.</w:t>
      </w:r>
    </w:p>
    <w:p>
      <w:pPr>
        <w:keepNext w:val="0"/>
        <w:spacing w:before="120" w:after="0" w:line="260" w:lineRule="exact"/>
        <w:ind w:left="360" w:right="0" w:firstLine="0"/>
        <w:jc w:val="left"/>
      </w:pPr>
      <w:r>
        <w:rPr>
          <w:rFonts w:ascii="Times New Roman" w:hAnsi="Times New Roman" w:eastAsia="Times New Roman" w:cs="Times New Roman"/>
          <w:b w:val="0"/>
          <w:sz w:val="24"/>
        </w:rPr>
        <w:t>Schedule 11.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Letter-of-Credit Rights.</w:t>
      </w:r>
    </w:p>
    <w:p>
      <w:pPr>
        <w:keepNext w:val="0"/>
        <w:spacing w:before="120" w:after="0" w:line="260" w:lineRule="exact"/>
        <w:ind w:left="360" w:right="0" w:firstLine="0"/>
        <w:jc w:val="left"/>
      </w:pPr>
      <w:r>
        <w:rPr>
          <w:rFonts w:ascii="Times New Roman" w:hAnsi="Times New Roman" w:eastAsia="Times New Roman" w:cs="Times New Roman"/>
          <w:b w:val="0"/>
          <w:sz w:val="24"/>
        </w:rPr>
        <w:t>Schedule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 Accounts and Securities Accounts.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