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Performance Share Unit Award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NOTICE OF GRANT</w:t>
      </w:r>
      <w:r>
        <w:rPr>
          <w:rFonts w:ascii="Times New Roman" w:hAnsi="Times New Roman" w:eastAsia="Times New Roman" w:cs="Times New Roman"/>
          <w:sz w:val="24"/>
        </w:rPr>
        <w:br/>
      </w:r>
      <w:r>
        <w:rPr>
          <w:rFonts w:ascii="Times New Roman" w:hAnsi="Times New Roman" w:eastAsia="Times New Roman" w:cs="Times New Roman"/>
          <w:b/>
          <w:sz w:val="24"/>
        </w:rPr>
        <w:t>PERFORMANCE SHARE UNIT AWARD –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you that you have been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(the “Award”) of performance share units ("PSUs") under the [company name] [equity plan name] (the “Plan”), subject to the terms and conditions set forth below and in the attached Performance Share Unit Award Agreement and the Plan; provided that the Award is conditioned on your acknowledgment of receipt and acceptance in accordance with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of the Award Agreement within two weeks after receiving this Notice of Grant.</w:t>
      </w:r>
    </w:p>
    <w:p>
      <w:pPr>
        <w:keepNext w:val="0"/>
        <w:spacing w:before="200" w:after="0" w:line="260" w:lineRule="exact"/>
        <w:ind w:left="720" w:right="0" w:firstLine="0"/>
        <w:jc w:val="both"/>
      </w:pPr>
      <w:r>
        <w:rPr>
          <w:rFonts w:ascii="Times New Roman" w:hAnsi="Times New Roman" w:eastAsia="Times New Roman" w:cs="Times New Roman"/>
          <w:b w:val="0"/>
          <w:sz w:val="24"/>
        </w:rPr>
        <w:t>Capitalized terms used in this Notice of Grant and the Award Agreement, unless otherwise defined, shall have the meanings set forth in the Plan.</w:t>
      </w:r>
    </w:p>
    <w:p>
      <w:pPr>
        <w:keepNext w:val="0"/>
        <w:spacing w:before="120" w:after="0" w:line="260" w:lineRule="exact"/>
        <w:ind w:left="360" w:right="0" w:firstLine="0"/>
        <w:jc w:val="left"/>
      </w:pPr>
      <w:r>
        <w:rPr>
          <w:rFonts w:ascii="Times New Roman" w:hAnsi="Times New Roman" w:eastAsia="Times New Roman" w:cs="Times New Roman"/>
          <w:b/>
          <w:sz w:val="24"/>
        </w:rPr>
        <w:t>Summary of Award Terms</w:t>
      </w:r>
    </w:p>
    <w:p>
      <w:pPr>
        <w:keepNext w:val="0"/>
        <w:spacing w:before="200" w:after="0" w:line="260" w:lineRule="exact"/>
        <w:ind w:left="720" w:right="0" w:firstLine="0"/>
        <w:jc w:val="both"/>
      </w:pPr>
      <w:r>
        <w:rPr>
          <w:rFonts w:ascii="Times New Roman" w:hAnsi="Times New Roman" w:eastAsia="Times New Roman" w:cs="Times New Roman"/>
          <w:b/>
          <w:sz w:val="24"/>
        </w:rPr>
        <w:t>Name of grantee:</w:t>
      </w:r>
      <w:r>
        <w:rPr>
          <w:rFonts w:ascii="Times New Roman" w:hAnsi="Times New Roman" w:eastAsia="Times New Roman" w:cs="Times New Roman"/>
          <w:b w:val="0"/>
          <w:sz w:val="24"/>
        </w:rPr>
        <w:t xml:space="preserve"> [name] (the “Grantee”)</w:t>
      </w:r>
    </w:p>
    <w:p>
      <w:pPr>
        <w:keepNext w:val="0"/>
        <w:spacing w:before="200" w:after="0" w:line="260" w:lineRule="exact"/>
        <w:ind w:left="720" w:right="0" w:firstLine="0"/>
        <w:jc w:val="both"/>
      </w:pPr>
      <w:r>
        <w:rPr>
          <w:rFonts w:ascii="Times New Roman" w:hAnsi="Times New Roman" w:eastAsia="Times New Roman" w:cs="Times New Roman"/>
          <w:b/>
          <w:sz w:val="24"/>
        </w:rPr>
        <w:t>Date of grant:</w:t>
      </w:r>
      <w:r>
        <w:rPr>
          <w:rFonts w:ascii="Times New Roman" w:hAnsi="Times New Roman" w:eastAsia="Times New Roman" w:cs="Times New Roman"/>
          <w:b w:val="0"/>
          <w:sz w:val="24"/>
        </w:rPr>
        <w:t xml:space="preserve"> [grant date] (the “Grant Date”)</w:t>
      </w:r>
    </w:p>
    <w:p>
      <w:pPr>
        <w:keepNext w:val="0"/>
        <w:spacing w:before="200" w:after="0" w:line="260" w:lineRule="exact"/>
        <w:ind w:left="720" w:right="0" w:firstLine="0"/>
        <w:jc w:val="both"/>
      </w:pPr>
      <w:r>
        <w:rPr>
          <w:rFonts w:ascii="Times New Roman" w:hAnsi="Times New Roman" w:eastAsia="Times New Roman" w:cs="Times New Roman"/>
          <w:b/>
          <w:sz w:val="24"/>
        </w:rPr>
        <w:t>Number of performance share units:</w:t>
      </w:r>
      <w:r>
        <w:rPr>
          <w:rFonts w:ascii="Times New Roman" w:hAnsi="Times New Roman" w:eastAsia="Times New Roman" w:cs="Times New Roman"/>
          <w:b w:val="0"/>
          <w:sz w:val="24"/>
        </w:rPr>
        <w:t xml:space="preserve"> Maximum number of PSUs subject to grant: [number]</w:t>
      </w:r>
    </w:p>
    <w:p>
      <w:pPr>
        <w:keepNext w:val="0"/>
        <w:spacing w:before="200" w:after="0" w:line="260" w:lineRule="exact"/>
        <w:ind w:left="720" w:right="0" w:firstLine="0"/>
        <w:jc w:val="both"/>
      </w:pPr>
      <w:r>
        <w:rPr>
          <w:rFonts w:ascii="Times New Roman" w:hAnsi="Times New Roman" w:eastAsia="Times New Roman" w:cs="Times New Roman"/>
          <w:b/>
          <w:sz w:val="24"/>
        </w:rPr>
        <w:t>Performance Period:</w:t>
      </w:r>
      <w:r>
        <w:rPr>
          <w:rFonts w:ascii="Times New Roman" w:hAnsi="Times New Roman" w:eastAsia="Times New Roman" w:cs="Times New Roman"/>
          <w:b w:val="0"/>
          <w:sz w:val="24"/>
        </w:rPr>
        <w:t xml:space="preserve"> [date] through [date] ("Performance Period")</w:t>
      </w:r>
    </w:p>
    <w:p>
      <w:pPr>
        <w:keepNext w:val="0"/>
        <w:spacing w:before="200" w:after="0" w:line="260" w:lineRule="exact"/>
        <w:ind w:left="720" w:right="0" w:firstLine="0"/>
        <w:jc w:val="both"/>
      </w:pP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The PSUs shall vest only upon the achievement of the applicable performance criteria during the Performance Period in accordance with the following schedule: [description of performance vesting criteria, goals, and other relevant terms].</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provided in the Award Agreement, you must continue to provide services to the Company throughout the Performance Period to remain eligible for any rights or interests with respect to this Award.</w:t>
      </w:r>
    </w:p>
    <w:p>
      <w:pPr>
        <w:keepNext w:val="0"/>
        <w:spacing w:before="200" w:after="0" w:line="260" w:lineRule="exact"/>
        <w:ind w:left="720" w:right="0" w:firstLine="0"/>
        <w:jc w:val="both"/>
      </w:pPr>
      <w:r>
        <w:rPr>
          <w:rFonts w:ascii="Times New Roman" w:hAnsi="Times New Roman" w:eastAsia="Times New Roman" w:cs="Times New Roman"/>
          <w:b/>
          <w:sz w:val="24"/>
        </w:rPr>
        <w:t>Settlement date:</w:t>
      </w:r>
      <w:r>
        <w:rPr>
          <w:rFonts w:ascii="Times New Roman" w:hAnsi="Times New Roman" w:eastAsia="Times New Roman" w:cs="Times New Roman"/>
          <w:b w:val="0"/>
          <w:sz w:val="24"/>
        </w:rPr>
        <w:t xml:space="preserve"> [settlement date] (the “Settlement Date”)</w:t>
      </w:r>
    </w:p>
    <w:p>
      <w:pPr>
        <w:keepNext w:val="0"/>
        <w:spacing w:before="200" w:after="0" w:line="260" w:lineRule="exact"/>
        <w:ind w:left="720" w:right="0" w:firstLine="0"/>
        <w:jc w:val="both"/>
      </w:pPr>
      <w:r>
        <w:rPr>
          <w:rFonts w:ascii="Times New Roman" w:hAnsi="Times New Roman" w:eastAsia="Times New Roman" w:cs="Times New Roman"/>
          <w:b w:val="0"/>
          <w:sz w:val="24"/>
        </w:rPr>
        <w:t>See the Award Agreement for additional terms governing the Award, including provisions regarding vesting, forfeiture, and transfer restrictions, among others.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200" w:after="0" w:line="260" w:lineRule="exact"/>
        <w:ind w:left="360" w:right="0" w:firstLine="0"/>
        <w:jc w:val="center"/>
      </w:pPr>
      <w:r>
        <w:rPr>
          <w:rFonts w:ascii="Times New Roman" w:hAnsi="Times New Roman" w:eastAsia="Times New Roman" w:cs="Times New Roman"/>
          <w:b/>
          <w:sz w:val="24"/>
        </w:rPr>
        <w:t>[EQUITY PLAN NAME]</w:t>
      </w:r>
    </w:p>
    <w:p>
      <w:pPr>
        <w:keepNext w:val="0"/>
        <w:spacing w:before="120" w:after="0" w:line="260" w:lineRule="exact"/>
        <w:ind w:left="360" w:right="0" w:firstLine="0"/>
        <w:jc w:val="left"/>
      </w:pPr>
      <w:r>
        <w:rPr>
          <w:rFonts w:ascii="Times New Roman" w:hAnsi="Times New Roman" w:eastAsia="Times New Roman" w:cs="Times New Roman"/>
          <w:b/>
          <w:sz w:val="24"/>
        </w:rPr>
        <w:t>PERFORMANCE SHARE UNIT AWARD AGREEMENT –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this Performance Share Unit Award Agreement (this “Award Agreement”), and subject to the terms and conditions herein and in the [equity plan name] (the “Plan”), which Plan is incorporated by reference into this Award Agreement, [company name] (the “Company,” which term shall include affiliates thereof unless the context indicates otherwise) grants to the Grantee identified in the Notice of Grant attached hereto (which Notice of Grant forms part of this Award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share unit award (the “Award”) under the Plan, conditioned on the Grantee’s acknowledgment of receipt and acceptance in accordance with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hereof no later than two weeks after receiving the Notice of Grant. Grantee’s failure to timely execute the acknowledgement of receipt and acceptance shall render the Award and this Award Agreement null and void and of no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Performance Share Units.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hereby grants this Award of PSUs as described in the Notice of Grant, pursuant to which, subject to the terms and conditions of this Award Agreement and the Plan, the Company will pay to the Grantee on (or as soon as practicable after) the Settlement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Fair Market Value of one share of Common Stock as of the Settlement Date multiplied by the number of vested PSUs granted hereby, in cash or in kind as provided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References to the “Committee” refer to the committee administering the Plan (or its authorized delegate,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shall be considered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from Service</w:t>
      </w:r>
      <w:r>
        <w:rPr>
          <w:rFonts w:ascii="Times New Roman" w:hAnsi="Times New Roman" w:eastAsia="Times New Roman" w:cs="Times New Roman"/>
          <w:b w:val="0"/>
          <w:sz w:val="24"/>
        </w:rPr>
        <w:t xml:space="preserve">” on the first day following the Grant Date that the Grantee no longer serves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Company (provided that such term will be interpreted in accordance with Treasury Regulation section 1.409A-1(h) for purposes of determining the settlement date of the Award if and to the extent the Award is subject to the rules of section 409A of the Code and settlement is contingent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and the term “</w:t>
      </w:r>
      <w:r>
        <w:rPr>
          <w:rFonts w:ascii="Times New Roman" w:hAnsi="Times New Roman" w:eastAsia="Times New Roman" w:cs="Times New Roman"/>
          <w:b/>
          <w:sz w:val="24"/>
        </w:rPr>
        <w:t>Separation Date</w:t>
      </w:r>
      <w:r>
        <w:rPr>
          <w:rFonts w:ascii="Times New Roman" w:hAnsi="Times New Roman" w:eastAsia="Times New Roman" w:cs="Times New Roman"/>
          <w:b w:val="0"/>
          <w:sz w:val="24"/>
        </w:rPr>
        <w:t>” means the day on which the Grantee’s Separation from Service occurs.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Vesting.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Award is subject to the vesting terms set forth in the Notice of Grant, and any portion of the Award that does not vest thereby shall automatically be cancelled and terminated and be of no further force and effect, except as may otherwise be provided in this Award Agreement, in the Plan, or in another agreement with the Grantee that expressly supersedes the provisions of the Award Agreement or the Plan.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Separation from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Grantee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for any reason prior to the end of the Performance Period (or if any additional vesting requirements remain unsatisfied at such time), then the Grantee shall forfeit the Award and shall have no further rights or interest with respect to the PSUs granted hereby, with automatic and immediate effect as of the Separation Date (after giving effect to any applicable vesting acceleration provision). Subject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the Grantee’s Separation from Service after the end of the Performance Period but before the Settlement Date shall have no effect on the Grantee’s rights hereunder.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Forfeiture.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Grantee shall forfeit and cease to have any right or interest in the Award or with respect to the PSUs granted hereby, whether or not vested, upon (i) the Company’s determination the Grantee has breached his or her fiduciary duties to the Company, (ii) the Grantee’s breach, as determined by the Committee, of any non-disclosure, non-competition, or non-solicitation restrictive covenant obligation owed to the Company, or (iii) the Committee’s determination that any conduct of the Grantee constitutes grounds for forfeiture under the Plan.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forfeiture event, the Award shall be cancelled, terminated, and of no further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Award shall be subject to the provisions of Section [applicable plan section(s)] of the Plan. Except as otherwise provided in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incorporated by the Plan, any portion of the Award that vests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vest based on [performance at target levels OR actual performance achievement through the date of the Change in Control].</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of Award.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On or as soon as practicable after the Settlement Date, the Company shall, in full satisfaction of the PSUs granted hereby, issue to the Grantee one share of Common Stock for each PSU that vests hereunder, subject to the provisions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herein to the contrary, no transfer of shares of Common Stock shall become effective nor share certificates issued until the Company determines that such transfer, issuance, and delivery is in compliance with all applicable, laws, regulations of governmental authority, and the requirements of any securities exchange on which shares of Common Stock may be traded.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may,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issuance of Shares, require the Grantee to make covenants and representations and/or enter into agreements with the Company to reflect the Grantee’s rights and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and any limitations and restrictions on such Shares.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transfer of Shares pursuant to this Award shall be effectuated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entry on the books of the Company, the issuance of certificates representing such shares (bearing such legends as the Committee deems necessary or desirable), and/or other appropriate means as determined by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and until any shares of Common Stock are issued in settlement of the Award, the Award shall not confer to the Grantee any rights or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or Transfer.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the Award nor the Grantee’s rights with respect to the PSUs granted hereby may be sold, pledged, assigned, hypothecated, transferred, or disposed of in any manner other than by will or by the laws of descent or distribution. No transfer by will or the laws of descent and distribution shall be effective to bind the Company unless the Committee shall have been furnished with (i) written notice thereof along with such evidence as the Committee may deem necessary to establish the validity of the transfer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Award that are or would have been applicable to the Grantee and to be bound by the acknowledgements made by the Grantee in connection with the grant.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Grantee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accepting the Award, the Grantee represents and acknowledges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has reviewed the Plan and this Award Agreement in their entirety, and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obtain the advice of independent counsel prior to accepting the Award.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has had the opportunity to consult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advisor concerning the tax consequences of accepting the Award, and understands that the Company makes no representation regarding the tax treatment as to any aspect of the Award, including the grant, vesting, settlement, or conversion of the Award.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understands that neither the grant of this discretionary Award nor the Grantee’s participation in the Plan confers any right to receive any other award or amount of compensation, whether under the Plan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Grantee consents to the collection, use, and transfer, in electronic or other form, of the Grantee’s personal data by the Company, the Committee, and any third party retained to administer the Plan for the exclusive purpose of administering the Award and Grantee’s participation in the Plan. The Grantee agrees to promptly notify the Committee of any changes in the Grantee’s name, address, or contact information during the entire period of Plan participation.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outstanding shares of Common Stock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split, or consolidation,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recapitalization, corporate change, corporate transaction, or other similar event relating to the Company, the Committee may adjust the type or number of shares of Common Stock subject to the Award in accordance with Section [applicable plan section(s)]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Interpretation.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the Plan and this Award Agreement, the Committee shall have full discretionary authority to administer the Award, including discretionary authority to interpret and construe any and all provisions relating to the Award. Decisions of the Committee shall be final, binding, and conclusive on all parties.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this Award Agreement and the Plan, the terms of the Plan shall prevail.</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It is intended that the Award shall be exempt from Section 409A of the Code and the interpretive guidance thereunder (“Section 409A”), and this Award Agreement shall be administered accordingly, and interpreted and construed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consistent with such intent. To the extent that any provision of this Award Agreement would fail to comply with applicable requirements of Section 409A, the Company may, in its sole and absolute discretion and without requiring the Grantee’s consent, make such modifications to this Award Agreement and/or payments to be made thereunder to the extent it determines necessary or advisable to comply with the requirements of Section 409A. Nothing in this Award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the Award, and the Company does not guarantee that any compensation or benefits provided under this Award Agreement will satisfy the provisions of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terms of this Award Agreement shall be binding upon and inure to the benefit of the heirs of the Grantee or distributees of the Grantee’s estate and any successor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Severability; 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Award Agreement shall be construed and administered in accordance with the laws of [state]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relevant governmental authority that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this Award Agreement is unlawful or invalid shall not serve to invalidate any portion of this Award Agreement not found to be unlawful or invalid, and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found to be unlawful or invalid shall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fullest extent possible while remaining lawful and valid.</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of Receipt and Acceptance.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(or execution by other means approved by the Committee, including by electronic signature), the undersigned acknowledges receipt and acceptance of the Award, agrees to the representations made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and indicates his or her intention to be bound by this Award Agreement and the terms of the Plan.</w:t>
      </w:r>
    </w:p>
    <w:p>
      <w:pPr/>
    </w:p>
    <w:p>
      <w:pPr>
        <w:keepNext w:val="0"/>
        <w:spacing w:before="120" w:after="0" w:line="260" w:lineRule="exact"/>
        <w:ind w:left="360" w:right="0" w:firstLine="0"/>
        <w:jc w:val="left"/>
      </w:pPr>
      <w:r>
        <w:rPr>
          <w:rFonts w:ascii="Times New Roman" w:hAnsi="Times New Roman" w:eastAsia="Times New Roman" w:cs="Times New Roman"/>
          <w:b/>
          <w:sz w:val="24"/>
        </w:rPr>
        <w:t>Grantee’s acknowledgment of receipt and acceptance: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[grantee name]</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w:t>
      </w:r>
    </w:p>
    <w:p>
      <w:pPr>
        <w:keepNext w:val="0"/>
        <w:spacing w:before="120" w:after="0" w:line="260" w:lineRule="exact"/>
        <w:ind w:left="360" w:right="0" w:firstLine="0"/>
        <w:jc w:val="left"/>
      </w:pPr>
      <w:r>
        <w:rPr>
          <w:rFonts w:ascii="Times New Roman" w:hAnsi="Times New Roman" w:eastAsia="Times New Roman" w:cs="Times New Roman"/>
          <w:b/>
          <w:sz w:val="24"/>
        </w:rPr>
        <w:t>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 of company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