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Permitted Communications Memorandum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MEMORANDUM</w:t>
      </w:r>
    </w:p>
    <w:p>
      <w:pPr>
        <w:keepNext w:val="0"/>
        <w:spacing w:before="200" w:after="0" w:line="260" w:lineRule="exact"/>
        <w:ind w:left="720" w:right="0" w:firstLine="0"/>
        <w:jc w:val="both"/>
      </w:pPr>
      <w:r>
        <w:rPr>
          <w:rFonts w:ascii="Times New Roman" w:hAnsi="Times New Roman" w:eastAsia="Times New Roman" w:cs="Times New Roman"/>
          <w:b w:val="0"/>
          <w:sz w:val="24"/>
        </w:rPr>
        <w:t>TO: The Directors and Senior Management of [name of company] (the Company)</w:t>
      </w:r>
    </w:p>
    <w:p>
      <w:pPr>
        <w:keepNext w:val="0"/>
        <w:spacing w:before="200" w:after="0" w:line="260" w:lineRule="exact"/>
        <w:ind w:left="720" w:right="0" w:firstLine="0"/>
        <w:jc w:val="both"/>
      </w:pPr>
      <w:r>
        <w:rPr>
          <w:rFonts w:ascii="Times New Roman" w:hAnsi="Times New Roman" w:eastAsia="Times New Roman" w:cs="Times New Roman"/>
          <w:b w:val="0"/>
          <w:sz w:val="24"/>
        </w:rPr>
        <w:t>FROM: [law firm]</w:t>
      </w:r>
    </w:p>
    <w:p>
      <w:pPr>
        <w:keepNext w:val="0"/>
        <w:spacing w:before="200" w:after="0" w:line="260" w:lineRule="exact"/>
        <w:ind w:left="720" w:right="0" w:firstLine="0"/>
        <w:jc w:val="both"/>
      </w:pPr>
      <w:r>
        <w:rPr>
          <w:rFonts w:ascii="Times New Roman" w:hAnsi="Times New Roman" w:eastAsia="Times New Roman" w:cs="Times New Roman"/>
          <w:b w:val="0"/>
          <w:sz w:val="24"/>
        </w:rPr>
        <w:t>DATE: [date]</w:t>
      </w:r>
    </w:p>
    <w:p>
      <w:pPr>
        <w:keepNext w:val="0"/>
        <w:spacing w:before="200" w:after="0" w:line="260" w:lineRule="exact"/>
        <w:ind w:left="720" w:right="0" w:firstLine="0"/>
        <w:jc w:val="both"/>
      </w:pPr>
      <w:r>
        <w:rPr>
          <w:rFonts w:ascii="Times New Roman" w:hAnsi="Times New Roman" w:eastAsia="Times New Roman" w:cs="Times New Roman"/>
          <w:b w:val="0"/>
          <w:sz w:val="24"/>
        </w:rPr>
        <w:t>RE: Permitted Communications during the Initial Public Offering (IPO) Process</w:t>
      </w:r>
    </w:p>
    <w:p>
      <w:pPr>
        <w:keepNext w:val="0"/>
        <w:spacing w:before="120" w:after="0" w:line="260" w:lineRule="exact"/>
        <w:ind w:left="720" w:right="0" w:firstLine="0"/>
        <w:jc w:val="left"/>
      </w:pPr>
      <w:r>
        <w:rPr>
          <w:rFonts w:ascii="Times New Roman" w:hAnsi="Times New Roman" w:eastAsia="Times New Roman" w:cs="Times New Roman"/>
          <w:b/>
          <w:sz w:val="24"/>
        </w:rPr>
        <w:t>Executive Summary</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This memorandum discusses the Company's communications with various parties, including potential investors, customers, and suppliers, during the course of preparing for and conducting its proposed initial public offering, or IPO. It describes the federal securities laws and regulations governing the dissemination of information about the Company prior to, during, and after completion of, the proposed IPO, and provides suggestions with respect to the publication of such information on the Company's website. Although presented in the context of the IPO, the rules discussed below apply equally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few modifications) to any follow-on offerings the Company may elect to conduct. This memorandum also discusses the "testing the waters" provisions of the Securities Act of 1933, as amended (Securities Act), added in 2012 by the Jumpstart our Business Startups Act (JOBS Act) and expanded in 2019 to cover all issuers. </w:t>
      </w:r>
    </w:p>
    <w:p>
      <w:pPr>
        <w:keepNext w:val="0"/>
        <w:spacing w:before="120" w:after="0" w:line="260" w:lineRule="exact"/>
        <w:ind w:left="720" w:right="0" w:firstLine="0"/>
        <w:jc w:val="left"/>
      </w:pPr>
      <w:r>
        <w:rPr>
          <w:rFonts w:ascii="Times New Roman" w:hAnsi="Times New Roman" w:eastAsia="Times New Roman" w:cs="Times New Roman"/>
          <w:b/>
          <w:sz w:val="24"/>
        </w:rPr>
        <w:t>Regulatory Requirements</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The Securities Act, and regulations adopted by the Securities and Exchange Commission (SEC), restrict both the information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 engaged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IPO may communicate, and the methods of communication it may use, before, during, and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following completion of, the IPO.</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Under Section 5(c) of the Securities Act, it is unlawful to offer any security for sale, either orally or in writing, unless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registration statement has been filed for that security. The term "offer" is defined in Section 2(</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)(3) of the Securities Act as "every attempt or offer to dispose of, or solicitation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to buy,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security or interest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security for value." The SEC and the federal courts have construed this definition very broadly, such that almost any communication that serves to condition the market for the proposed IPO may be deemed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Once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registration statement is filed, the prohibition against oral offers no longer applies. Under Section 5(b) of the Securities Act, however,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 may not make written offers to sell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security unless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prospectus that complies with Section 10 of the Securities Act has been filed.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IPO, that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prospectus that includes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bona fide price range, which typically will be filed shortly before the road show for the IPO is scheduled to begin. The intent of the restrictions in Sections 5(c) and 5(b) is to prevent the use of communications that could generate interest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security without providing adequate disclosure to the investing public.</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Making prohibited offers (referred to as "gun jumping") can have serious consequences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company's IPO. The SEC may require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"cooling off" period that will delay the IPO. Additionally, purchasers in the IPO could have rescission rights (i.e., the right to sell the securities back to the Company), and the Company could have additional liability under the federal securities laws if any information transmitted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impermissible communication is not accurate or complete.</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Several rules adopted by the SEC, however, allow for some communication during the three phases of the IPO process: pre-filing, post-filing (or "waiting" period), and post-effective, because, based on the nature or purpose of the communication, or the timing of or person(s) making the communication, it does not serve to condition the market for the IPO. Compliance with the rules will provide the Company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"safe harbor" against violation of the federal securities law gun-jumping restrictions. Discussion of these safe harbors follows.</w:t>
      </w:r>
    </w:p>
    <w:p>
      <w:pPr>
        <w:keepNext w:val="0"/>
        <w:spacing w:before="120" w:after="0" w:line="260" w:lineRule="exact"/>
        <w:ind w:left="720" w:right="0" w:firstLine="0"/>
        <w:jc w:val="left"/>
      </w:pPr>
      <w:r>
        <w:rPr>
          <w:rFonts w:ascii="Times New Roman" w:hAnsi="Times New Roman" w:eastAsia="Times New Roman" w:cs="Times New Roman"/>
          <w:b/>
          <w:sz w:val="24"/>
        </w:rPr>
        <w:t>The Pre-Filing Period</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In the SEC's view, the pre-filing phase of the IPO offering process begins,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 is "in registration," at least from the time it reaches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understanding with its underwriter for the offering. Accordingly, once the Company is in registration and until it files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registration statement with the SEC, no offers, oral or written, to sell the Company's securities may be made. Any offers made during this period would constitute unlawful gun jumping. Certain communications may, however, be made during this period.</w:t>
      </w:r>
    </w:p>
    <w:p>
      <w:pPr>
        <w:keepNext w:val="0"/>
        <w:spacing w:before="120" w:after="0" w:line="260" w:lineRule="exact"/>
        <w:ind w:left="720" w:right="0" w:firstLine="0"/>
        <w:jc w:val="left"/>
      </w:pPr>
      <w:r>
        <w:rPr>
          <w:rFonts w:ascii="Times New Roman" w:hAnsi="Times New Roman" w:eastAsia="Times New Roman" w:cs="Times New Roman"/>
          <w:b w:val="0"/>
          <w:sz w:val="24"/>
        </w:rPr>
        <w:t>Rule 163A: Communications made 30 Days before Filing.</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Rule 163A under the Securities Act provides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communication made by or on behalf of the Company more than 30 days before the date of the public filing of the IPO registration statement will not constitute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of securities if the following requirements are met:</w:t>
      </w:r>
    </w:p>
    <w:p>
      <w:pPr>
        <w:keepNext w:val="0"/>
        <w:spacing w:before="120" w:after="0" w:line="260" w:lineRule="exact"/>
        <w:ind w:left="1440" w:right="0" w:firstLine="240"/>
        <w:jc w:val="left"/>
      </w:pPr>
      <w:r>
        <w:rPr>
          <w:rFonts w:ascii="Times New Roman" w:hAnsi="Times New Roman" w:eastAsia="Times New Roman" w:cs="Times New Roman"/>
          <w:b w:val="0"/>
          <w:sz w:val="24"/>
        </w:rPr>
        <w:t>• The communication does not refer to the IPO.</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communication is made by or on behalf of the Company - communications made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underwriter or potential underwriter are not covered.</w:t>
      </w:r>
    </w:p>
    <w:p>
      <w:pPr>
        <w:keepNext w:val="0"/>
        <w:spacing w:before="120" w:after="0" w:line="260" w:lineRule="exact"/>
        <w:ind w:left="1440" w:right="0" w:firstLine="240"/>
        <w:jc w:val="left"/>
      </w:pPr>
      <w:r>
        <w:rPr>
          <w:rFonts w:ascii="Times New Roman" w:hAnsi="Times New Roman" w:eastAsia="Times New Roman" w:cs="Times New Roman"/>
          <w:b w:val="0"/>
          <w:sz w:val="24"/>
        </w:rPr>
        <w:t>• The Company takes reasonable steps within its control to prevent further distribution or publication of the communication during the 30-day period immediately before the registration statement is filed.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Although the SEC has not provided any "bright line" guidance as to when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issuer will be considered to have taken reasonable steps to prevent further communication or publication, the SEC has stated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issuer may maintain information on its website provided that it is appropriately dated and otherwise identified as historical material, and is not referred to as part of the offering activities.</w:t>
      </w:r>
    </w:p>
    <w:p>
      <w:pPr>
        <w:keepNext w:val="0"/>
        <w:spacing w:before="120" w:after="0" w:line="260" w:lineRule="exact"/>
        <w:ind w:left="720" w:right="0" w:firstLine="0"/>
        <w:jc w:val="left"/>
      </w:pPr>
      <w:r>
        <w:rPr>
          <w:rFonts w:ascii="Times New Roman" w:hAnsi="Times New Roman" w:eastAsia="Times New Roman" w:cs="Times New Roman"/>
          <w:b w:val="0"/>
          <w:sz w:val="24"/>
        </w:rPr>
        <w:t xml:space="preserve">Rule 135: Announcing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Proposed IPO</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Rule 135 under the Securities Act permits the Company, or anyone acting on its behalf, to publicly announce that it is proposing to conduct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IPO without violating the prohibition against pre-filing offers if the notice includes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to the effect that it does not constitute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of any securities for sale and contains only very limited information, including:</w:t>
      </w:r>
    </w:p>
    <w:p>
      <w:pPr>
        <w:keepNext w:val="0"/>
        <w:spacing w:before="120" w:after="0" w:line="260" w:lineRule="exact"/>
        <w:ind w:left="1440" w:right="0" w:firstLine="240"/>
        <w:jc w:val="left"/>
      </w:pPr>
      <w:r>
        <w:rPr>
          <w:rFonts w:ascii="Times New Roman" w:hAnsi="Times New Roman" w:eastAsia="Times New Roman" w:cs="Times New Roman"/>
          <w:b w:val="0"/>
          <w:sz w:val="24"/>
        </w:rPr>
        <w:t>• The Company's name</w:t>
      </w:r>
    </w:p>
    <w:p>
      <w:pPr>
        <w:keepNext w:val="0"/>
        <w:spacing w:before="120" w:after="0" w:line="260" w:lineRule="exact"/>
        <w:ind w:left="1440" w:right="0" w:firstLine="240"/>
        <w:jc w:val="left"/>
      </w:pPr>
      <w:r>
        <w:rPr>
          <w:rFonts w:ascii="Times New Roman" w:hAnsi="Times New Roman" w:eastAsia="Times New Roman" w:cs="Times New Roman"/>
          <w:b w:val="0"/>
          <w:sz w:val="24"/>
        </w:rPr>
        <w:t>• The title, amount, and basic terms of the securities to be offered, including the amount, if any, to be offered by selling security holders</w:t>
      </w:r>
    </w:p>
    <w:p>
      <w:pPr>
        <w:keepNext w:val="0"/>
        <w:spacing w:before="120" w:after="0" w:line="260" w:lineRule="exact"/>
        <w:ind w:left="1440" w:right="0" w:firstLine="240"/>
        <w:jc w:val="left"/>
      </w:pPr>
      <w:r>
        <w:rPr>
          <w:rFonts w:ascii="Times New Roman" w:hAnsi="Times New Roman" w:eastAsia="Times New Roman" w:cs="Times New Roman"/>
          <w:b w:val="0"/>
          <w:sz w:val="24"/>
        </w:rPr>
        <w:t>• The anticipated timing of the offering</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brief statement of the manner and purpose of the offering, without naming the underwriter(s)</w:t>
      </w:r>
    </w:p>
    <w:p>
      <w:pPr>
        <w:keepNext w:val="0"/>
        <w:spacing w:before="200" w:after="0" w:line="260" w:lineRule="exact"/>
        <w:ind w:left="108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Rule 135 press release, however, must not name the underwriter or describe the company's business.</w:t>
      </w:r>
    </w:p>
    <w:p>
      <w:pPr>
        <w:keepNext w:val="0"/>
        <w:spacing w:before="120" w:after="0" w:line="260" w:lineRule="exact"/>
        <w:ind w:left="720" w:right="0" w:firstLine="0"/>
        <w:jc w:val="left"/>
      </w:pPr>
      <w:r>
        <w:rPr>
          <w:rFonts w:ascii="Times New Roman" w:hAnsi="Times New Roman" w:eastAsia="Times New Roman" w:cs="Times New Roman"/>
          <w:b w:val="0"/>
          <w:sz w:val="24"/>
        </w:rPr>
        <w:t>Rule 169: Releasing Ordinary Course Business Information</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In 2005, the SEC codified, in Rule 169 under the Securities Act, its prior guidance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 in registration could continue to publicly disseminate information about its business without committing gun jumping. Rule 169 provides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non-exclusive safe harbor for the dissemination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"non-reporting" company (i.e.,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 that is not subject to the reporting requirements of the Securities Exchange Act of 1934, as amended (Exchange Act)), of "regularly released" ordinary course factual business information. Under this safe harbor, the Company's dissemination of factual business information that satisfies the conditions of Rule 169, both before and after filing its registration statement, will not be deemed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for sale of the Company's securities, and thus will not constitute gun jumping.</w:t>
      </w:r>
    </w:p>
    <w:p>
      <w:pPr>
        <w:keepNext w:val="0"/>
        <w:spacing w:before="120" w:after="0" w:line="260" w:lineRule="exact"/>
        <w:ind w:left="1080" w:right="0" w:firstLine="240"/>
        <w:jc w:val="left"/>
      </w:pPr>
      <w:r>
        <w:rPr>
          <w:rFonts w:ascii="Times New Roman" w:hAnsi="Times New Roman" w:eastAsia="Times New Roman" w:cs="Times New Roman"/>
          <w:b w:val="0"/>
          <w:sz w:val="24"/>
        </w:rPr>
        <w:t>Factual business information is defined in Rule 169 as:</w:t>
      </w:r>
    </w:p>
    <w:p>
      <w:pPr>
        <w:keepNext w:val="0"/>
        <w:spacing w:before="120" w:after="0" w:line="260" w:lineRule="exact"/>
        <w:ind w:left="1440" w:right="0" w:firstLine="240"/>
        <w:jc w:val="left"/>
      </w:pPr>
      <w:r>
        <w:rPr>
          <w:rFonts w:ascii="Times New Roman" w:hAnsi="Times New Roman" w:eastAsia="Times New Roman" w:cs="Times New Roman"/>
          <w:b w:val="0"/>
          <w:sz w:val="24"/>
        </w:rPr>
        <w:t>• Factual information about the Company, its business or financial developments, or other aspects of its business</w:t>
      </w:r>
    </w:p>
    <w:p>
      <w:pPr>
        <w:keepNext w:val="0"/>
        <w:spacing w:before="120" w:after="0" w:line="260" w:lineRule="exact"/>
        <w:ind w:left="1440" w:right="0" w:firstLine="240"/>
        <w:jc w:val="left"/>
      </w:pPr>
      <w:r>
        <w:rPr>
          <w:rFonts w:ascii="Times New Roman" w:hAnsi="Times New Roman" w:eastAsia="Times New Roman" w:cs="Times New Roman"/>
          <w:b w:val="0"/>
          <w:sz w:val="24"/>
        </w:rPr>
        <w:t>• Advertisements of, or other information about, the Company's products or services</w:t>
      </w:r>
    </w:p>
    <w:p>
      <w:pPr>
        <w:keepNext w:val="0"/>
        <w:spacing w:before="120" w:after="0" w:line="260" w:lineRule="exact"/>
        <w:ind w:left="1080" w:right="0" w:firstLine="24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Rule 169 communication cannot contain information about the IPO or be released or disseminated as part of offering activities related to the IPO. The communication must be authorized or approved prior to use by the Company or on behalf of the Company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agent or representative of the Company, other than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underwriter or dealer that is participating in the IPO.</w:t>
      </w:r>
    </w:p>
    <w:p>
      <w:pPr>
        <w:keepNext w:val="0"/>
        <w:spacing w:before="120" w:after="0" w:line="260" w:lineRule="exact"/>
        <w:ind w:left="1080" w:right="0" w:firstLine="24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Rule 169 communication must also meet the following conditions:</w:t>
      </w:r>
    </w:p>
    <w:p>
      <w:pPr>
        <w:keepNext w:val="0"/>
        <w:spacing w:before="120" w:after="0" w:line="260" w:lineRule="exact"/>
        <w:ind w:left="1440" w:right="0" w:firstLine="240"/>
        <w:jc w:val="left"/>
      </w:pPr>
      <w:r>
        <w:rPr>
          <w:rFonts w:ascii="Times New Roman" w:hAnsi="Times New Roman" w:eastAsia="Times New Roman" w:cs="Times New Roman"/>
          <w:b w:val="0"/>
          <w:sz w:val="24"/>
        </w:rPr>
        <w:t>• The Company has previously released or disseminated this type of information in the ordinary course of business.</w:t>
      </w:r>
    </w:p>
    <w:p>
      <w:pPr>
        <w:keepNext w:val="0"/>
        <w:spacing w:before="120" w:after="0" w:line="260" w:lineRule="exact"/>
        <w:ind w:left="1440" w:right="0" w:firstLine="240"/>
        <w:jc w:val="left"/>
      </w:pPr>
      <w:r>
        <w:rPr>
          <w:rFonts w:ascii="Times New Roman" w:hAnsi="Times New Roman" w:eastAsia="Times New Roman" w:cs="Times New Roman"/>
          <w:b w:val="0"/>
          <w:sz w:val="24"/>
        </w:rPr>
        <w:t>• The timing, manner, and form in which the information is released or disseminated is consistent in all material respects with similar past releases or disseminations.</w:t>
      </w:r>
    </w:p>
    <w:p>
      <w:pPr>
        <w:keepNext w:val="0"/>
        <w:spacing w:before="120" w:after="0" w:line="260" w:lineRule="exact"/>
        <w:ind w:left="1440" w:right="0" w:firstLine="240"/>
        <w:jc w:val="left"/>
      </w:pPr>
      <w:r>
        <w:rPr>
          <w:rFonts w:ascii="Times New Roman" w:hAnsi="Times New Roman" w:eastAsia="Times New Roman" w:cs="Times New Roman"/>
          <w:b w:val="0"/>
          <w:sz w:val="24"/>
        </w:rPr>
        <w:t>• The information is released or disseminated for intended use by persons, such as customers and suppliers, other than in their capacities as investors or potential investors, by the Company's employees or agents who historically have provided such information.</w:t>
      </w:r>
    </w:p>
    <w:p>
      <w:pPr>
        <w:keepNext w:val="0"/>
        <w:spacing w:before="120" w:after="0" w:line="260" w:lineRule="exact"/>
        <w:ind w:left="720" w:right="0" w:firstLine="0"/>
        <w:jc w:val="left"/>
      </w:pPr>
      <w:r>
        <w:rPr>
          <w:rFonts w:ascii="Times New Roman" w:hAnsi="Times New Roman" w:eastAsia="Times New Roman" w:cs="Times New Roman"/>
          <w:b w:val="0"/>
          <w:sz w:val="24"/>
        </w:rPr>
        <w:t>Testing the Waters</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Section 5(d) of the Securities Act, added in 2012 by the JOBS Act, permits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"emerging growth company" (EGC) or any person authorized to act on behalf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EGC, including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underwriter, to "test the waters," either before or after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registration statement is filed, by meeting or otherwise communicating with potential investors who are either "qualified institutional buyers" (QIBs) or "institutional accredited investors" (IAIs)), generally large institutional investors, to assess their interest in investing in the proposed offering, but not to solicit orders or seek commitments to invest. Testing the waters may allow the Company and its underwriters to assess the strength of the demand for the Company's securities and thus determine the appropriate price and size of the Company's proposed IPO. To qualify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EGC,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IPO issuer must have total gross revenues of less than $1.07 billion for its most recently completed fiscal year.</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On September 26, 2019, the SEC extended the ability to test the waters to all issuers (not just EGCs) by adopting Rule 163B under the Securities Act. The new rule allows any issuer, or any person acting on the issuer's behalf, to engage in test the waters communications with potential investors that are reasonably believed to be IAIs or QIBs, either prior to or following the date of filing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registration statement relating to the offering, without violating the Securities Act's "gun jumping" rules.</w:t>
      </w:r>
    </w:p>
    <w:p>
      <w:pPr>
        <w:keepNext w:val="0"/>
        <w:spacing w:before="120" w:after="0" w:line="260" w:lineRule="exact"/>
        <w:ind w:left="1080" w:right="0" w:firstLine="24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testing the waters communication will not be considered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of securities, and any materials distributed to the potential investors will not be considered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free writing prospectus (discussed below). Because, however, the antifraud provisions of the securities laws apply to these communications, the Company must ensure that any information conveyed is consistent with the information included in, or expected to be included in, the registration statement. The Company should also expect that the SEC staff will, in reviewing the Company's IPO registration statement, request copies of any written materials used in testing the waters activities and will review the information in those materials for consistency with the disclosure provided in the registration statement.</w:t>
      </w:r>
    </w:p>
    <w:p>
      <w:pPr>
        <w:keepNext w:val="0"/>
        <w:spacing w:before="120" w:after="0" w:line="260" w:lineRule="exact"/>
        <w:ind w:left="720" w:right="0" w:firstLine="0"/>
        <w:jc w:val="left"/>
      </w:pPr>
      <w:r>
        <w:rPr>
          <w:rFonts w:ascii="Times New Roman" w:hAnsi="Times New Roman" w:eastAsia="Times New Roman" w:cs="Times New Roman"/>
          <w:b/>
          <w:sz w:val="24"/>
        </w:rPr>
        <w:t>The Post-Filing (or Waiting) Period</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Once the registration statement for the IPO is filed with the SEC and is undergoing review by the SEC staff, the Company may continue to release factual business information in compliance with Rule 169, and oral offers of the IPO securities are no longer prohibited. Written offers may be made, however, only after the prospectus included in the registration statement has been amended to include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bona fide price range, which typically is done shortly before the road show for the IPO is scheduled to begin. The Company and its underwriters may use this so-called "statutory" prospectus, and other written materials known as "free writing prospectuses," to offer the IPO securities to investors. Before the statutory prospectus is filed any written offer would constitute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impermissible prospectus, resulting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gun-jumping violation. Rule 134 under the Securities Act provides, however,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communication (commonly issued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press release), containing certain limited information about the Company and the IPO will not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prospectus and thus not violate the gun-jumping rules. It is also appropriate for management to inform employees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registration statement has been filed, keeping in mind the restrictions imposed by Rule 134.</w:t>
      </w:r>
    </w:p>
    <w:p>
      <w:pPr>
        <w:keepNext w:val="0"/>
        <w:spacing w:before="120" w:after="0" w:line="260" w:lineRule="exact"/>
        <w:ind w:left="720" w:right="0" w:firstLine="0"/>
        <w:jc w:val="left"/>
      </w:pPr>
      <w:r>
        <w:rPr>
          <w:rFonts w:ascii="Times New Roman" w:hAnsi="Times New Roman" w:eastAsia="Times New Roman" w:cs="Times New Roman"/>
          <w:b w:val="0"/>
          <w:sz w:val="24"/>
        </w:rPr>
        <w:t>The Rule 134 Safe Harbor</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Any communication made in reliance on Rule 134 must include the legend required by the rule and the name and address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or persons from whom the preliminary prospectus may be obtained. In addition, the notice may include the following information:</w:t>
      </w:r>
    </w:p>
    <w:p>
      <w:pPr>
        <w:keepNext w:val="0"/>
        <w:spacing w:before="120" w:after="0" w:line="260" w:lineRule="exact"/>
        <w:ind w:left="1440" w:right="0" w:firstLine="240"/>
        <w:jc w:val="left"/>
      </w:pPr>
      <w:r>
        <w:rPr>
          <w:rFonts w:ascii="Times New Roman" w:hAnsi="Times New Roman" w:eastAsia="Times New Roman" w:cs="Times New Roman"/>
          <w:b w:val="0"/>
          <w:sz w:val="24"/>
        </w:rPr>
        <w:t>• Factual information about the Company, including its name, the address, phone number and email address of its principal offices and contact for investors, its country of organization, and where it conducts business</w:t>
      </w:r>
    </w:p>
    <w:p>
      <w:pPr>
        <w:keepNext w:val="0"/>
        <w:spacing w:before="120" w:after="0" w:line="260" w:lineRule="exact"/>
        <w:ind w:left="1440" w:right="0" w:firstLine="240"/>
        <w:jc w:val="left"/>
      </w:pPr>
      <w:r>
        <w:rPr>
          <w:rFonts w:ascii="Times New Roman" w:hAnsi="Times New Roman" w:eastAsia="Times New Roman" w:cs="Times New Roman"/>
          <w:b w:val="0"/>
          <w:sz w:val="24"/>
        </w:rPr>
        <w:t>• The title and amounts of securities being offered</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brief description of the Company's general type of business, limited to information such as the general types of its products and the segments in which it operates</w:t>
      </w:r>
    </w:p>
    <w:p>
      <w:pPr>
        <w:keepNext w:val="0"/>
        <w:spacing w:before="120" w:after="0" w:line="260" w:lineRule="exact"/>
        <w:ind w:left="1440" w:right="0" w:firstLine="240"/>
        <w:jc w:val="left"/>
      </w:pPr>
      <w:r>
        <w:rPr>
          <w:rFonts w:ascii="Times New Roman" w:hAnsi="Times New Roman" w:eastAsia="Times New Roman" w:cs="Times New Roman"/>
          <w:b w:val="0"/>
          <w:sz w:val="24"/>
        </w:rPr>
        <w:t>• The price of the security or the method for determining the price (for the IPO, this information cannot be provided until the statutory prospectus is filed)</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brief description of the intended use of proceeds of the offering, if disclosed in the prospectus then on file with the SEC</w:t>
      </w:r>
    </w:p>
    <w:p>
      <w:pPr>
        <w:keepNext w:val="0"/>
        <w:spacing w:before="120" w:after="0" w:line="260" w:lineRule="exact"/>
        <w:ind w:left="1440" w:right="0" w:firstLine="240"/>
        <w:jc w:val="left"/>
      </w:pPr>
      <w:r>
        <w:rPr>
          <w:rFonts w:ascii="Times New Roman" w:hAnsi="Times New Roman" w:eastAsia="Times New Roman" w:cs="Times New Roman"/>
          <w:b w:val="0"/>
          <w:sz w:val="24"/>
        </w:rPr>
        <w:t>• The name, address, phone number and email address of the sender of the communication, and whether it is participating or expects to participate in the offering</w:t>
      </w:r>
    </w:p>
    <w:p>
      <w:pPr>
        <w:keepNext w:val="0"/>
        <w:spacing w:before="120" w:after="0" w:line="260" w:lineRule="exact"/>
        <w:ind w:left="1440" w:right="0" w:firstLine="240"/>
        <w:jc w:val="left"/>
      </w:pPr>
      <w:r>
        <w:rPr>
          <w:rFonts w:ascii="Times New Roman" w:hAnsi="Times New Roman" w:eastAsia="Times New Roman" w:cs="Times New Roman"/>
          <w:b w:val="0"/>
          <w:sz w:val="24"/>
        </w:rPr>
        <w:t>• The type of underwriting (e.g., firm commitment), if disclosed in the prospectus then on file with the SEC</w:t>
      </w:r>
    </w:p>
    <w:p>
      <w:pPr>
        <w:keepNext w:val="0"/>
        <w:spacing w:before="120" w:after="0" w:line="260" w:lineRule="exact"/>
        <w:ind w:left="1440" w:right="0" w:firstLine="240"/>
        <w:jc w:val="left"/>
      </w:pPr>
      <w:r>
        <w:rPr>
          <w:rFonts w:ascii="Times New Roman" w:hAnsi="Times New Roman" w:eastAsia="Times New Roman" w:cs="Times New Roman"/>
          <w:b w:val="0"/>
          <w:sz w:val="24"/>
        </w:rPr>
        <w:t>• The names of the underwriters participating in the offering and their additional roles in the underwriting syndicate</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anticipated schedule of the offering,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description of marketing events</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description of the procedures by which the underwriters will conduct the offering and information about the procedures for opening accounts and submitting indications of interest, including with respect to directed share plans</w:t>
      </w:r>
    </w:p>
    <w:p>
      <w:pPr>
        <w:keepNext w:val="0"/>
        <w:spacing w:before="120" w:after="0" w:line="260" w:lineRule="exact"/>
        <w:ind w:left="720" w:right="0" w:firstLine="0"/>
        <w:jc w:val="left"/>
      </w:pPr>
      <w:r>
        <w:rPr>
          <w:rFonts w:ascii="Times New Roman" w:hAnsi="Times New Roman" w:eastAsia="Times New Roman" w:cs="Times New Roman"/>
          <w:b w:val="0"/>
          <w:sz w:val="24"/>
        </w:rPr>
        <w:t>Free Writing Prospectuses</w:t>
      </w:r>
    </w:p>
    <w:p>
      <w:pPr>
        <w:keepNext w:val="0"/>
        <w:spacing w:before="120" w:after="0" w:line="260" w:lineRule="exact"/>
        <w:ind w:left="1080" w:right="0" w:firstLine="240"/>
        <w:jc w:val="left"/>
      </w:pPr>
      <w:r>
        <w:rPr>
          <w:rFonts w:ascii="Times New Roman" w:hAnsi="Times New Roman" w:eastAsia="Times New Roman" w:cs="Times New Roman"/>
          <w:b w:val="0"/>
          <w:sz w:val="24"/>
        </w:rPr>
        <w:t>The Company and its underwriters may use other written communications, referred to as "free writing prospectuses," to offer the IPO securities to investors without violating the gun-jumping provisions of the Securities Act.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The term "free writing prospectus" (FWP) is defined in Rule 405 under the Securities Act as any written communication that constitutes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to sell or solicitation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to buy securities that are the subject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registered offering that is used after the registration statement is filed, other than the prospectus included in the registration statement. (Other communications permitted under the SEC rules discussed above (e.g., Rules 134 and 169), are also not FWPs.) Rules 164 and 433 under the Securities Act govern the use of FWPs.</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Rule 164 provides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issuer and its underwriters may use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FWP after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registration statement containing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statutory prospectus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IPO,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prospectus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bona fide price range), has been filed with the SEC, provided that the issuer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eligible issuer and the conditions of Rule 433 are satisfied. Issuers not eligible to use FWPs include blank check companies, shell companies, companies offering penny stock, and SEC-reporting companies that are delinquent in meeting their filing obligations under the Exchange Act.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Rule 433(c) provides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FWP may contain information "the substance of which is not included in the registration statement," but the information may not conflict with the information in the registration statement.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FWP must include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legend stating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registration statement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prospectus) has been filed for the offering with the SEC and specifying where the registration statement and prospectus may be found.</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Rule 433(b)(2) requires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FWP prepared or used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non-reporting issuer (such as the Company)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in the IPO (e.g.,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underwriter or dealer), must be accompanied or preceded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physical copy of the most recent statutory prospectus, unless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prior statutory prospectus has been provided and there is no material change from the prior prospectus in the most recent prospectus.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FWP in electronic form, this requirement can be met by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live hyperlink to the prospectus in the FWP. Subject to certain exceptions,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FWP must be filed with the SEC no later than the date it is first used. Rule 164 provides, however, that failure to file or delay in filing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FWP will not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violation of the Securities Act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good faith and reasonable effort was made to file the FWP and the FWP is filed as soon as practicable after discovery of the failure to file.</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As noted above,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FWP is defined in Rule 405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communication." The definition of "written communication" is expansive, and includes any communication that is written or printed,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radio or TV broadcast,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"graphic communication."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"graphic communication" includes all forms of electronic media, including emails, on-demand webcasts, blast voice mail messages, and audio and videotapes. Consequently,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electronic road show prepared for the Company's IPO will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FWP, but need not be filed with the SEC if at least one version of the road show is made available to the public (typically by posting on the issuer's website), including potential investors, without restriction. On the other hand,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live road show (including any video clips and slides used in the road show, and any materials distributed to attendees that are collected at the end of the meeting), is not considered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communication, and thus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FWP, because it originates live, in real time,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live audience, whether in person or transmitted graphically.</w:t>
      </w:r>
    </w:p>
    <w:p>
      <w:pPr>
        <w:keepNext w:val="0"/>
        <w:spacing w:before="120" w:after="0" w:line="260" w:lineRule="exact"/>
        <w:ind w:left="720" w:right="0" w:firstLine="0"/>
        <w:jc w:val="left"/>
      </w:pPr>
      <w:r>
        <w:rPr>
          <w:rFonts w:ascii="Times New Roman" w:hAnsi="Times New Roman" w:eastAsia="Times New Roman" w:cs="Times New Roman"/>
          <w:b/>
          <w:sz w:val="24"/>
        </w:rPr>
        <w:t>The Post-Effective Period</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Once the registration statement for the IPO has been declared effective by the SEC, sales, confirmations of sales, and delivery of the IPO securities may be made. Assuming that the IPO securities will be listed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national securities exchange, such as the New York Stock Exchange or The Nasdaq Stock Market, transactions by dealers in the IPO securities during the 25 days following the effective date of the registration statement may only be made if accompanied or preceded by the final prospectus,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as to its availability. Accordingly, to avoid having to amend the prospectus, IPO issuers will customarily not release any significant information during this period, other than as may be required to be included in any reports or other materials they file with the SEC under the Exchange Act. Nonetheless, the Company may rely on Rule 134, discussed above, to announce completion of the offering, typically in the form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tombstone advertisement.</w:t>
      </w:r>
    </w:p>
    <w:p>
      <w:pPr>
        <w:keepNext w:val="0"/>
        <w:spacing w:before="120" w:after="0" w:line="260" w:lineRule="exact"/>
        <w:ind w:left="720" w:right="0" w:firstLine="0"/>
        <w:jc w:val="left"/>
      </w:pPr>
      <w:r>
        <w:rPr>
          <w:rFonts w:ascii="Times New Roman" w:hAnsi="Times New Roman" w:eastAsia="Times New Roman" w:cs="Times New Roman"/>
          <w:b w:val="0"/>
          <w:sz w:val="24"/>
        </w:rPr>
        <w:t>Rule 168: Regularly Released Factual Business Information and Forward-Looking Information</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Following the IPO, the Company will be subject to the reporting requirements of the Exchange Act.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reporting company, it may rely on Rule 168 under the Securities Act to continue to communicate regularly released factual business information and forward-looking information throughout the course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registered securities offering.</w:t>
      </w:r>
    </w:p>
    <w:p>
      <w:pPr>
        <w:keepNext w:val="0"/>
        <w:spacing w:before="120" w:after="0" w:line="260" w:lineRule="exact"/>
        <w:ind w:left="1080" w:right="0" w:firstLine="240"/>
        <w:jc w:val="left"/>
      </w:pPr>
      <w:r>
        <w:rPr>
          <w:rFonts w:ascii="Times New Roman" w:hAnsi="Times New Roman" w:eastAsia="Times New Roman" w:cs="Times New Roman"/>
          <w:b w:val="0"/>
          <w:sz w:val="24"/>
        </w:rPr>
        <w:t>The requirements of Rule 168 are very similar to those of Rule 169 in that the Company must have previously released the same type of information in the ordinary course of its business, and the timing, manner, and form in which the information is released or disseminated must be consistent with similar past releases. As with Rule 169, the communication may not include information about the offering or be released or disseminated as part of the offering activities for the offering.</w:t>
      </w:r>
    </w:p>
    <w:p>
      <w:pPr>
        <w:keepNext w:val="0"/>
        <w:spacing w:before="120" w:after="0" w:line="260" w:lineRule="exact"/>
        <w:ind w:left="1080" w:right="0" w:firstLine="240"/>
        <w:jc w:val="left"/>
      </w:pPr>
      <w:r>
        <w:rPr>
          <w:rFonts w:ascii="Times New Roman" w:hAnsi="Times New Roman" w:eastAsia="Times New Roman" w:cs="Times New Roman"/>
          <w:b w:val="0"/>
          <w:sz w:val="24"/>
        </w:rPr>
        <w:t>In addition to historical factual information, Rule 168 permits communication of "forward-looking" information, including any such information included in reports or other materials filed with or furnished to the SEC under the Exchange Act, defined as follows:</w:t>
      </w:r>
    </w:p>
    <w:p>
      <w:pPr>
        <w:keepNext w:val="0"/>
        <w:spacing w:before="120" w:after="0" w:line="260" w:lineRule="exact"/>
        <w:ind w:left="1440" w:right="0" w:firstLine="240"/>
        <w:jc w:val="left"/>
      </w:pPr>
      <w:r>
        <w:rPr>
          <w:rFonts w:ascii="Times New Roman" w:hAnsi="Times New Roman" w:eastAsia="Times New Roman" w:cs="Times New Roman"/>
          <w:b w:val="0"/>
          <w:sz w:val="24"/>
        </w:rPr>
        <w:t>• Projections of the Company's revenues, income (loss), earnings (loss) per share, capital expenditures, dividends, capital structure, or other financial items</w:t>
      </w:r>
    </w:p>
    <w:p>
      <w:pPr>
        <w:keepNext w:val="0"/>
        <w:spacing w:before="120" w:after="0" w:line="260" w:lineRule="exact"/>
        <w:ind w:left="1440" w:right="0" w:firstLine="240"/>
        <w:jc w:val="left"/>
      </w:pPr>
      <w:r>
        <w:rPr>
          <w:rFonts w:ascii="Times New Roman" w:hAnsi="Times New Roman" w:eastAsia="Times New Roman" w:cs="Times New Roman"/>
          <w:b w:val="0"/>
          <w:sz w:val="24"/>
        </w:rPr>
        <w:t>• Statements about management's plans and objectives for future operations, including plans or objectives relating to the Company's products or services</w:t>
      </w:r>
    </w:p>
    <w:p>
      <w:pPr>
        <w:keepNext w:val="0"/>
        <w:spacing w:before="120" w:after="0" w:line="260" w:lineRule="exact"/>
        <w:ind w:left="1440" w:right="0" w:firstLine="240"/>
        <w:jc w:val="left"/>
      </w:pPr>
      <w:r>
        <w:rPr>
          <w:rFonts w:ascii="Times New Roman" w:hAnsi="Times New Roman" w:eastAsia="Times New Roman" w:cs="Times New Roman"/>
          <w:b w:val="0"/>
          <w:sz w:val="24"/>
        </w:rPr>
        <w:t>• Statements about the Company's future economic performance, including statements of the type contemplated in management's discussion and analysis of financial condition (MD&amp;</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Assumptions underlying or relating to any of the information described above</w:t>
      </w:r>
    </w:p>
    <w:p>
      <w:pPr>
        <w:keepNext w:val="0"/>
        <w:spacing w:before="120" w:after="0" w:line="260" w:lineRule="exact"/>
        <w:ind w:left="720" w:right="0" w:firstLine="0"/>
        <w:jc w:val="left"/>
      </w:pPr>
      <w:r>
        <w:rPr>
          <w:rFonts w:ascii="Times New Roman" w:hAnsi="Times New Roman" w:eastAsia="Times New Roman" w:cs="Times New Roman"/>
          <w:b/>
          <w:sz w:val="24"/>
        </w:rPr>
        <w:t>Website Dissemination of Information Before, During, and After the IPO Process</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Because, as discussed above, the SEC and the federal courts construe the definition of the term "offer" very broadly, material posted on the Company's website could be deemed to constitute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impermissible offer in violation of the gun-jumping rules. Information posted on the Company's website is subject to the same restrictions as information otherwise released by the Company, and thus should satisfy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applicable SEC safe harbor throughout the IPO process to avoid any potential gun-jumping violations. For example, any ordinary course business information (e.g., information about the Company's products and services), appearing on the Company's website either before or after the IPO registration statement is filed should comply with the requirements of Rule 169, particularly that the Company has previously posted this type of information on the website in the ordinary course of business.</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In addition, Rule 433(e) under the Securities Act provides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safe harbor for certain website disclosures. Under the safe harbor, historical information on the Company's website will not be considered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of securities and therefore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FWP if:</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It is located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section of the website containing historical Company information.</w:t>
      </w:r>
    </w:p>
    <w:p>
      <w:pPr>
        <w:keepNext w:val="0"/>
        <w:spacing w:before="120" w:after="0" w:line="260" w:lineRule="exact"/>
        <w:ind w:left="1440" w:right="0" w:firstLine="240"/>
        <w:jc w:val="left"/>
      </w:pPr>
      <w:r>
        <w:rPr>
          <w:rFonts w:ascii="Times New Roman" w:hAnsi="Times New Roman" w:eastAsia="Times New Roman" w:cs="Times New Roman"/>
          <w:b w:val="0"/>
          <w:sz w:val="24"/>
        </w:rPr>
        <w:t>• It is appropriately dated or otherwise specifically identified as historical information.</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It has not been incorporated by reference into or otherwise included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prospectus of the Company for the offering and has not otherwise been used or referred to in connection with the offering.</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The SEC has stated that any statements containing information falling within the available Securities Act safe harbors may be posted on the Company's website when the Company is in registration, either directly or indirectly through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hyperlink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third-party website, including that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broker-dealer participating in the IPO. The SEC has also made clear that any information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third-party website that constitutes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and that is hyperlinked to the Company's website is very likely to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impermissible offer by the Company unless the linked information qualifies for one of the safe harbors.</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The SEC has advised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issuer preparing for its IPO should be very cautious about establishing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website contemporaneously with conducting the IPO, or posting types of information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existing website that it had not ordinarily posted on the past. Either activity may be seen as conditioning the market for the IPO and, due to the unfamiliarity of the marketplace with the Company or its business, investors may be unable to view the Company's communications appropriately while the Company is in registration. In other words, investors may be less able to distinguish offers to sell the securities in the IPO from product or service promotional activities or other business or financial information.</w:t>
      </w:r>
    </w:p>
    <w:p>
      <w:pPr>
        <w:keepNext w:val="0"/>
        <w:spacing w:before="120" w:after="0" w:line="260" w:lineRule="exact"/>
        <w:ind w:left="1080" w:right="0" w:firstLine="240"/>
        <w:jc w:val="left"/>
      </w:pPr>
      <w:r>
        <w:rPr>
          <w:rFonts w:ascii="Times New Roman" w:hAnsi="Times New Roman" w:eastAsia="Times New Roman" w:cs="Times New Roman"/>
          <w:b w:val="0"/>
          <w:sz w:val="24"/>
        </w:rPr>
        <w:t>The same concerns about the Company's website also relate to information that the Company publishes over social media (e.g., Twitter, Facebook), and the Company must be just as vigilant that any such information not constitute illegal gun-jumping activity in connection with the proposed IPO.</w:t>
      </w:r>
    </w:p>
    <w:p>
      <w:pPr>
        <w:keepNext w:val="0"/>
        <w:spacing w:before="120" w:after="0" w:line="260" w:lineRule="exact"/>
        <w:ind w:left="720" w:right="0" w:firstLine="0"/>
        <w:jc w:val="left"/>
      </w:pPr>
      <w:r>
        <w:rPr>
          <w:rFonts w:ascii="Times New Roman" w:hAnsi="Times New Roman" w:eastAsia="Times New Roman" w:cs="Times New Roman"/>
          <w:b/>
          <w:sz w:val="24"/>
        </w:rPr>
        <w:t>Website Practices during the IPO Process</w:t>
      </w:r>
    </w:p>
    <w:p>
      <w:pPr>
        <w:keepNext w:val="0"/>
        <w:spacing w:before="120" w:after="0" w:line="260" w:lineRule="exact"/>
        <w:ind w:left="1080" w:right="0" w:firstLine="240"/>
        <w:jc w:val="left"/>
      </w:pPr>
      <w:r>
        <w:rPr>
          <w:rFonts w:ascii="Times New Roman" w:hAnsi="Times New Roman" w:eastAsia="Times New Roman" w:cs="Times New Roman"/>
          <w:b w:val="0"/>
          <w:sz w:val="24"/>
        </w:rPr>
        <w:t>The Company should expect that the SEC staff will review the Company's website (and the websites of any of its subsidiaries), as well as its social media use and all other public communications, in connection with the IPO. Accordingly, the Company should consider the following:</w:t>
      </w:r>
    </w:p>
    <w:p>
      <w:pPr>
        <w:keepNext w:val="0"/>
        <w:spacing w:before="120" w:after="0" w:line="260" w:lineRule="exact"/>
        <w:ind w:left="1440" w:right="0" w:firstLine="240"/>
        <w:jc w:val="left"/>
      </w:pPr>
      <w:r>
        <w:rPr>
          <w:rFonts w:ascii="Times New Roman" w:hAnsi="Times New Roman" w:eastAsia="Times New Roman" w:cs="Times New Roman"/>
          <w:b w:val="0"/>
          <w:sz w:val="24"/>
        </w:rPr>
        <w:t>• In-house or outside legal counsel should review all information currently on the Company's website(s) and all new information before it is posted for compliance with applicable safe harbors.</w:t>
      </w:r>
    </w:p>
    <w:p>
      <w:pPr>
        <w:keepNext w:val="0"/>
        <w:spacing w:before="120" w:after="0" w:line="260" w:lineRule="exact"/>
        <w:ind w:left="1440" w:right="0" w:firstLine="240"/>
        <w:jc w:val="left"/>
      </w:pPr>
      <w:r>
        <w:rPr>
          <w:rFonts w:ascii="Times New Roman" w:hAnsi="Times New Roman" w:eastAsia="Times New Roman" w:cs="Times New Roman"/>
          <w:b w:val="0"/>
          <w:sz w:val="24"/>
        </w:rPr>
        <w:t>• Historical information on the Company's website(s) should be clearly marked as such and dated.</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All content on the Company's website(s) and social media platforms that may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should be removed as discreetly as possible so as not to signal to the market that the Company may be engaging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securities offering.</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Third-party or affiliate website material that is hyperlinked to the Company's website should also be reviewed. If any such material could be deemed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of securities under the Securities Act and related SEC rules and interpretations discussed in this memorandum, the related hyperlink should be removed. Any hyperlinks to financial information or analysts' reports should be removed.</w:t>
      </w:r>
    </w:p>
    <w:p>
      <w:pPr>
        <w:keepNext w:val="0"/>
        <w:spacing w:before="120" w:after="0" w:line="260" w:lineRule="exact"/>
        <w:ind w:left="1440" w:right="0" w:firstLine="240"/>
        <w:jc w:val="left"/>
      </w:pPr>
      <w:r>
        <w:rPr>
          <w:rFonts w:ascii="Times New Roman" w:hAnsi="Times New Roman" w:eastAsia="Times New Roman" w:cs="Times New Roman"/>
          <w:b w:val="0"/>
          <w:sz w:val="24"/>
        </w:rPr>
        <w:t>• Business and product-related disclosures on the website must be consistent with related disclosures in the Company's registration statement.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Extreme care should be taken, in consultation with the Company's legal counsel, before embarking on any new website initiatives (e.g., revising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website or establishing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website), during the IPO process, even if such initiatives follow ordinary course, historical Company practice.</w:t>
      </w:r>
    </w:p>
    <w:p>
      <w:pPr>
        <w:keepNext w:val="0"/>
        <w:spacing w:before="120" w:after="0" w:line="260" w:lineRule="exact"/>
        <w:ind w:left="1440" w:right="0" w:firstLine="240"/>
        <w:jc w:val="left"/>
      </w:pPr>
      <w:r>
        <w:rPr>
          <w:rFonts w:ascii="Times New Roman" w:hAnsi="Times New Roman" w:eastAsia="Times New Roman" w:cs="Times New Roman"/>
          <w:b w:val="0"/>
          <w:sz w:val="24"/>
        </w:rPr>
        <w:t>• The Company may continue to publish on its website regularly released factual business information, consistent with its historical, ordinary course practice, and intended for use by persons other than in their capacity as investors or potential investors.</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review of website disclosure for gun-jumping issues should be part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overall communications plan to prevent inadvertent violations of federal securities laws during the IPO process, including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information published over social media.</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