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Petition for Adjudication (Guardian of Estate of Incapacitated Person) (PA Official Form OC-03)</w:t>
      </w:r>
    </w:p>
    <w:p>
      <w:pPr>
        <w:keepNext w:val="0"/>
        <w:spacing w:after="0" w:line="240" w:lineRule="exact"/>
        <w:ind w:right="0"/>
        <w:jc w:val="both"/>
      </w:pPr>
    </w:p>
    <w:p>
      <w:pPr>
        <w:keepNext w:val="0"/>
        <w:spacing w:before="200" w:after="0" w:line="260" w:lineRule="exact"/>
        <w:ind w:left="0" w:right="0" w:firstLine="0"/>
        <w:jc w:val="both"/>
      </w:pPr>
      <w:r>
        <w:rPr>
          <w:rFonts w:ascii="Times New Roman" w:hAnsi="Times New Roman" w:eastAsia="Times New Roman" w:cs="Times New Roman"/>
          <w:b w:val="0"/>
          <w:sz w:val="24"/>
        </w:rPr>
        <w:t xml:space="preserve">This Petition for Adjudication and Statement of Proposed Distribution form is used in all cases involving the audit of the account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of the estate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incapacitated person. It is the exclusive form for adjudicating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and is filed at the same time that the account is filed. The local court and clerk must accept this statewide form adopted by the Pennsylvania Supreme Court and may not accept or allow any other forms previously permitted under local rules.</w:t>
      </w:r>
    </w:p>
    <w:p>
      <w:pPr>
        <w:keepNext w:val="0"/>
        <w:spacing w:before="200" w:after="0" w:line="260" w:lineRule="exact"/>
        <w:ind w:left="0" w:right="0" w:firstLine="0"/>
        <w:jc w:val="both"/>
      </w:pPr>
      <w:r>
        <w:rPr>
          <w:rFonts w:ascii="Times New Roman" w:hAnsi="Times New Roman" w:eastAsia="Times New Roman" w:cs="Times New Roman"/>
          <w:b w:val="0"/>
          <w:sz w:val="24"/>
        </w:rPr>
        <w:t>The Petition for Adjudication includes information about the agent’s administration of the assets of the principal and informs the court of any questions of interpretation and potential disputes about any proposed distributions.</w:t>
      </w:r>
    </w:p>
    <w:p>
      <w:pPr>
        <w:keepNext w:val="0"/>
        <w:spacing w:before="200" w:after="0" w:line="260" w:lineRule="exact"/>
        <w:ind w:left="0" w:right="0" w:firstLine="0"/>
        <w:jc w:val="both"/>
      </w:pPr>
      <w:r>
        <w:rPr>
          <w:rFonts w:ascii="Times New Roman" w:hAnsi="Times New Roman" w:eastAsia="Times New Roman" w:cs="Times New Roman"/>
          <w:b w:val="0"/>
          <w:sz w:val="24"/>
        </w:rPr>
        <w:t xml:space="preserve">The proposed distribution must include the name of each interested party who is not receiving notice. Additional averments are required for trusts. The accountant and counsel for the accountant sign and verify the proposed distribution. The court has the power to appoint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official examiner to examine the assets held by or the transactions of any fiduciary. See Pa. Sup. Orph. Ct. R. 2.4; Pa. Sup. Orph. Ct. R. 2.11.</w:t>
      </w:r>
    </w:p>
    <w:p>
      <w:pPr>
        <w:keepNext w:val="0"/>
        <w:spacing w:before="200" w:after="0" w:line="260" w:lineRule="exact"/>
        <w:ind w:left="0" w:right="0" w:firstLine="0"/>
        <w:jc w:val="both"/>
      </w:pPr>
      <w:r>
        <w:rPr>
          <w:rFonts w:ascii="Times New Roman" w:hAnsi="Times New Roman" w:eastAsia="Times New Roman" w:cs="Times New Roman"/>
          <w:b w:val="0"/>
          <w:sz w:val="24"/>
        </w:rPr>
        <w:t>All interested parties have the opportunity to review the petition and account in advance and file objections to the account and proposed schedule of distribution. Once the judge approves the petition for adjudication, distributions and payments to fiduciaries and counsel can be made.</w:t>
      </w:r>
    </w:p>
    <w:p>
      <w:pPr>
        <w:keepNext w:val="0"/>
        <w:spacing w:before="200" w:after="0" w:line="260" w:lineRule="exact"/>
        <w:ind w:left="0" w:right="0" w:firstLine="0"/>
        <w:jc w:val="both"/>
      </w:pPr>
      <w:r>
        <w:rPr>
          <w:rFonts w:ascii="Times New Roman" w:hAnsi="Times New Roman" w:eastAsia="Times New Roman" w:cs="Times New Roman"/>
          <w:b w:val="0"/>
          <w:sz w:val="24"/>
        </w:rPr>
        <w:t>For more information on guardianship practice, see practice note Orphans’ Court Rules (PA) and Orphans Court rules, Pa. Sup. Orph. Ct. R. 14.1–14.14.</w:t>
      </w:r>
    </w:p>
    <w:p>
      <w:pPr>
        <w:keepNext w:val="0"/>
        <w:spacing w:before="200" w:after="0" w:line="260" w:lineRule="exact"/>
        <w:ind w:left="0" w:right="0" w:firstLine="0"/>
        <w:jc w:val="both"/>
      </w:pPr>
      <w:r>
        <w:rPr>
          <w:rFonts w:ascii="Times New Roman" w:hAnsi="Times New Roman" w:eastAsia="Times New Roman" w:cs="Times New Roman"/>
          <w:b w:val="0"/>
          <w:sz w:val="24"/>
        </w:rPr>
        <w:t>Form can be found online at http://www.pacourts.us/assets/files/setting-872/file-5406.pdf?cb=def26c.</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