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Petition for Adjudication (Guardian of Estate of Minor) (PA Official Form OC-04)</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Petition for Adjudication and Statement of Proposed Distribution form is used in all cases involving the audit of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late minor. It is the exclusive form for adjudicating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and is filed at the same time that the account is filed. The local court and clerk must accept this statewide form adopted by the Pennsylvania Supreme Court and may not accept or allow any other forms previously permitted under local rules.</w:t>
      </w:r>
    </w:p>
    <w:p>
      <w:pPr>
        <w:keepNext w:val="0"/>
        <w:spacing w:before="200" w:after="0" w:line="260" w:lineRule="exact"/>
        <w:ind w:left="0" w:right="0" w:firstLine="0"/>
        <w:jc w:val="both"/>
      </w:pPr>
      <w:r>
        <w:rPr>
          <w:rFonts w:ascii="Times New Roman" w:hAnsi="Times New Roman" w:eastAsia="Times New Roman" w:cs="Times New Roman"/>
          <w:b w:val="0"/>
          <w:sz w:val="24"/>
        </w:rPr>
        <w:t>The Petition for Adjudication includes information about the agent’s administration of the assets of the principal and informs the court of any questions of interpretation and potential disputes about any proposed distributions.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proposed distribution must include the name of each interested party who is not receiving notice. Additional averments are required for trusts. The accountant and counsel for the accountant sign and verify the proposed distribution. The court has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examiner to examine the assets held by or the transactions of any fiduciary. See Pa. Sup. Orph. Ct. R. 2.4; Pa. Sup. Orph. Ct. R. 2.11.</w:t>
      </w:r>
    </w:p>
    <w:p>
      <w:pPr>
        <w:keepNext w:val="0"/>
        <w:spacing w:before="200" w:after="0" w:line="260" w:lineRule="exact"/>
        <w:ind w:left="0" w:right="0" w:firstLine="0"/>
        <w:jc w:val="both"/>
      </w:pPr>
      <w:r>
        <w:rPr>
          <w:rFonts w:ascii="Times New Roman" w:hAnsi="Times New Roman" w:eastAsia="Times New Roman" w:cs="Times New Roman"/>
          <w:b w:val="0"/>
          <w:sz w:val="24"/>
        </w:rPr>
        <w:t>All interested parties have the opportunity to review the Petition and Account in advance and file objections to the account and proposed schedule of distribution. Once the judge approves the Petition for Adjudication, distributions and payments to fiduciaries and counsel can be made.</w:t>
      </w:r>
    </w:p>
    <w:p>
      <w:pPr>
        <w:keepNext w:val="0"/>
        <w:spacing w:before="200" w:after="0" w:line="260" w:lineRule="exact"/>
        <w:ind w:left="0" w:right="0" w:firstLine="0"/>
        <w:jc w:val="both"/>
      </w:pPr>
      <w:r>
        <w:rPr>
          <w:rFonts w:ascii="Times New Roman" w:hAnsi="Times New Roman" w:eastAsia="Times New Roman" w:cs="Times New Roman"/>
          <w:b w:val="0"/>
          <w:sz w:val="24"/>
        </w:rPr>
        <w:t>For more information on probate practice, see the practice note Orphans’ Court Rules (PA) and Orphans Court rules, Pa. Sup. Orph. Ct. R. 14.1 through 14.14.</w:t>
      </w:r>
    </w:p>
    <w:p>
      <w:pPr>
        <w:keepNext w:val="0"/>
        <w:spacing w:before="200" w:after="0" w:line="260" w:lineRule="exact"/>
        <w:ind w:left="0" w:right="0" w:firstLine="0"/>
        <w:jc w:val="both"/>
      </w:pPr>
      <w:r>
        <w:rPr>
          <w:rFonts w:ascii="Times New Roman" w:hAnsi="Times New Roman" w:eastAsia="Times New Roman" w:cs="Times New Roman"/>
          <w:b w:val="0"/>
          <w:sz w:val="24"/>
        </w:rPr>
        <w:t>Form can be found online at http://www.pacourts.us/assets/files/setting-872/file-5407.pdf?cb=233a76.</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