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Petition for Probate and Grant of Letters (PA Official Form RW-02)</w:t>
      </w:r>
    </w:p>
    <w:p>
      <w:pPr>
        <w:keepNext w:val="0"/>
        <w:spacing w:after="0" w:line="240" w:lineRule="exact"/>
        <w:ind w:right="0"/>
        <w:jc w:val="both"/>
      </w:pPr>
    </w:p>
    <w:p>
      <w:pPr>
        <w:keepNext w:val="0"/>
        <w:spacing w:before="200" w:after="0" w:line="260" w:lineRule="exact"/>
        <w:ind w:left="0" w:right="0" w:firstLine="0"/>
        <w:jc w:val="both"/>
      </w:pPr>
      <w:r>
        <w:rPr>
          <w:rFonts w:ascii="Times New Roman" w:hAnsi="Times New Roman" w:eastAsia="Times New Roman" w:cs="Times New Roman"/>
          <w:b w:val="0"/>
          <w:sz w:val="24"/>
        </w:rPr>
        <w:t xml:space="preserve">This form is used to initiate probate in Pennsylvania. The petitioner must present this form, along with the original, executed copy of the will, if applicable;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Estate Information Sheet (PA Official Form RW-01);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certified death certificate;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check made payable to the Register of Wills for the probate fees. In addition,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oath of witnesses will be required if the will is not self-proving.</w:t>
      </w:r>
    </w:p>
    <w:p>
      <w:pPr>
        <w:keepNext w:val="0"/>
        <w:spacing w:before="200" w:after="0" w:line="260" w:lineRule="exact"/>
        <w:ind w:left="0" w:right="0" w:firstLine="0"/>
        <w:jc w:val="both"/>
      </w:pPr>
      <w:r>
        <w:rPr>
          <w:rFonts w:ascii="Times New Roman" w:hAnsi="Times New Roman" w:eastAsia="Times New Roman" w:cs="Times New Roman"/>
          <w:b w:val="0"/>
          <w:sz w:val="24"/>
        </w:rPr>
        <w:t xml:space="preserve">Probate must be initiated before the register of the county of the decedent’s last residence, or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non-resident, before the register of any county in which any of the property of the decedent is located. Each county sets its own probate fees, which are graduated so that larger estates pay more, but generally range from $200 to $1,000.</w:t>
      </w:r>
    </w:p>
    <w:p>
      <w:pPr>
        <w:keepNext w:val="0"/>
        <w:spacing w:before="200" w:after="0" w:line="260" w:lineRule="exact"/>
        <w:ind w:left="0" w:right="0" w:firstLine="0"/>
        <w:jc w:val="both"/>
      </w:pPr>
      <w:r>
        <w:rPr>
          <w:rFonts w:ascii="Times New Roman" w:hAnsi="Times New Roman" w:eastAsia="Times New Roman" w:cs="Times New Roman"/>
          <w:b w:val="0"/>
          <w:sz w:val="24"/>
        </w:rPr>
        <w:t xml:space="preserve">The petition, oath of the fiduciary, and oath of the witnesses (if the will is not self-proving) must be sworn to before the register of any Pennsylvania county or, where outside the state, before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officer with duties similar to those of the register. Proof of identification (e.g., driver’s license) will be required.</w:t>
      </w:r>
    </w:p>
    <w:p>
      <w:pPr>
        <w:keepNext w:val="0"/>
        <w:spacing w:before="200" w:after="0" w:line="260" w:lineRule="exact"/>
        <w:ind w:left="0" w:right="0" w:firstLine="0"/>
        <w:jc w:val="both"/>
      </w:pPr>
      <w:r>
        <w:rPr>
          <w:rFonts w:ascii="Times New Roman" w:hAnsi="Times New Roman" w:eastAsia="Times New Roman" w:cs="Times New Roman"/>
          <w:b w:val="0"/>
          <w:sz w:val="24"/>
        </w:rPr>
        <w:t>Once probate is granted, the register issues letters which formally appoint the fiduciary(ies) who will administer the estate. The letters constitute the official certificate of authority to represent the decedent’s estate.</w:t>
      </w:r>
    </w:p>
    <w:p>
      <w:pPr>
        <w:keepNext w:val="0"/>
        <w:spacing w:before="200" w:after="0" w:line="260" w:lineRule="exact"/>
        <w:ind w:left="0" w:right="0" w:firstLine="0"/>
        <w:jc w:val="both"/>
      </w:pPr>
      <w:r>
        <w:rPr>
          <w:rFonts w:ascii="Times New Roman" w:hAnsi="Times New Roman" w:eastAsia="Times New Roman" w:cs="Times New Roman"/>
          <w:b w:val="0"/>
          <w:sz w:val="24"/>
        </w:rPr>
        <w:t xml:space="preserve">For more information on initiating the probate process and the contents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petition, see Governing Law of Probate, Jurisdiction, and Proceedings (PA) and Fiduciary Appointments and Duties in Probate Proceedings (PA).</w:t>
      </w:r>
    </w:p>
    <w:p>
      <w:pPr>
        <w:keepNext w:val="0"/>
        <w:spacing w:before="200" w:after="0" w:line="260" w:lineRule="exact"/>
        <w:ind w:left="0" w:right="0" w:firstLine="0"/>
        <w:jc w:val="both"/>
      </w:pPr>
      <w:r>
        <w:rPr>
          <w:rFonts w:ascii="Times New Roman" w:hAnsi="Times New Roman" w:eastAsia="Times New Roman" w:cs="Times New Roman"/>
          <w:b w:val="0"/>
          <w:sz w:val="24"/>
        </w:rPr>
        <w:t>Form can be found online at http://www.pacourts.us/assets/files/setting-878/file-822.pdf.</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