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Plan of Complete Liquidation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This Plan of Complete Liquidation (hereinafter called the “Plan”) is adopted for the purpose of effecting the complete liquidation and dissolution of [name of the social purpose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California social purpose corporation (the “</w:t>
      </w:r>
      <w:r>
        <w:rPr>
          <w:rFonts w:ascii="Times New Roman" w:hAnsi="Times New Roman" w:eastAsia="Times New Roman" w:cs="Times New Roman"/>
          <w:b w:val="0"/>
          <w:sz w:val="24"/>
        </w:rPr>
        <w:t>Corporation</w:t>
      </w:r>
      <w:r>
        <w:rPr>
          <w:rFonts w:ascii="Times New Roman" w:hAnsi="Times New Roman" w:eastAsia="Times New Roman" w:cs="Times New Roman"/>
          <w:b w:val="0"/>
          <w:sz w:val="24"/>
        </w:rPr>
        <w:t xml:space="preserve">”) in accordance with Section 1900 et seq. of the California Corporations Code, pursuant to the following steps: </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Approval by the Shareholders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board of directors of the Corporation has adopted resolutions deeming it advisable and in the best interest of the shareholders of the Corporation to dissolve and liquidate the Corporation and to adopt the Plan. This Plan shall be submitted to the shareholders of the Corporation for adoption and approval. The Plan shall become effective upon its adoption by the shareholders.</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Surrender of Shares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The shareholders shall surrender their shares of stock in the Corporation for cancellation.</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Cessation of Business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From and after the date stated on the [Written Consent of the Shareholders of the Corporation to Elect to Wind Up and Dissolve and the Unanimous Written Consent of the Board of Directors of the Corporation to Elect to Wind Up and Dissolve], the Corporation shall not engage in any business activities.  The directors and officers then in office shall continue in office solely for the purpose of winding up the business and affairs of the Corporation, and after such date shall take no action whatsoever which is, or which can be construed to be, inconsistent with the status of liquidation.</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Distribution of Assets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After this Plan has been adopted by the shareholders, the officers and directors shall take all steps which each deems necessary or desirable to liquidate, wind up and dissolve the Corporation, including but not limited to the attempt to sell the remaining assets of the Corporation, if any, and the corresponding conversion of the Corporation’s assets, if any, to cash. After paying or adequately providing for all of its known debts and liabilities, the corporate assets remaining shall be distributed to the shareholders of record.  If any assets are discovered during the process of winding up and dissolving, such assets shall be distributed to the persons entitled thereto.</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Dissolution</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After the date stated on the [Written Consent of the Shareholders of the Corporation to Elect to Wind Up and Dissolve], the Chief Financial Officer or President shall cause to be executed and filed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franchise tax return with the California Franchise Tax Board.  Promptly after the filing of the final franchise tax return, the Secretary or President of the Corporation shall cause to be executed and filed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Dissolution of the Corporation with the Secretary of State of California in accordance with Section 1905 of the California Corporations Code.  In addition to the execution and filing of final income tax returns of the Corporation and the Certificate of Dissolution, the Board of Directors and officers shall in due time execute and file all other returns, documents and information required to be filed by reason of the complete liquidation of the Corporation.</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Authorization of Necessary Acts</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directors and officers of the Corporation shall carry out and consummate this Plan and shall have power to adopt all resolutions, execute all documents, file all papers (including without limitation final income tax returns with the California Franchise Tax Board and Internal Revenue Service,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Dissolution with the Secretary of State of California), and take all other actions that they deem necessary or desirable for the purpose of effecting the dissolution of the Corporation and the complete liquidation of its business, assets, and affairs.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