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Complete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Plan of Complete Liquidation</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Approval by the [Members/Governing Body].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Plan shall be submitted to the [members of the Corporation entitled to vote thereon/governing body of the Corporation (the Governing Body)] for adoption and approval. The Plan shall become effective upon its adoption by the [members/Governing Body].</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Cessation of Business.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From and after the date this Plan has been adopted as set forth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of this Plan, the Corporation shall not engage in any business activities. The governing body and officers then in office shall continue in office solely for the purpose of winding up the business and affairs of the Corporation, and after such date shall take no action whatsoever which is, or which can be construed to be, inconsistent with the status of liquidation.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 of Assets.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After this Plan has been adopted has been adopted as set forth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of this Plan, the governing body and officers of the Corporation shall take all steps which it deems necessary or desirable to liquidate, wind up and dissolve the Corporation, including but not limited to the attempt to sell the remaining assets of the Corporation, if any, and the corresponding conversion of the Corporation’s assets, if any, to cash. If any assets are discovered during the process of winding up and dissolving, such assets shall be distributed to the persons entitled thereto.</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Promptly after this Plan has been adopted has been adopted as set forth in 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of this Plan, the officers of the Corporation must file with the Delaware Secretary of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in accordance with Sections 276(</w:t>
      </w:r>
      <w:r>
        <w:rPr>
          <w:rFonts w:ascii="Times New Roman" w:hAnsi="Times New Roman" w:eastAsia="Times New Roman" w:cs="Times New Roman"/>
          <w:b/>
          <w:sz w:val="24"/>
        </w:rPr>
        <w:t>a</w:t>
      </w:r>
      <w:r>
        <w:rPr>
          <w:rFonts w:ascii="Times New Roman" w:hAnsi="Times New Roman" w:eastAsia="Times New Roman" w:cs="Times New Roman"/>
          <w:b w:val="0"/>
          <w:sz w:val="24"/>
        </w:rPr>
        <w:t>) and 275(d) of the Delaware General Corporation Law. In addition to the execution and filing of final income tax returns of the Corporation, the governing body and officers shall in due time execute and file all other returns, documents and information required to be filed by reason of the complete liquidation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Authorization of Necessary Acts.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governing body and officers of the Corporation shall carry out and consummate this Plan and shall have power to adopt all resolutions, execute all documents, make all required filings, pay all necessary expenses, and take all other actions that they deem necessary or desirable for the purpose of effecting the dissolution of the Corporation and the complete liquidation of its business, assets, and affairs.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