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Plan of Dissolution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PLAN OF DISSOLUTION OF</w:t>
      </w:r>
      <w:r>
        <w:rPr>
          <w:rFonts w:ascii="Times New Roman" w:hAnsi="Times New Roman" w:eastAsia="Times New Roman" w:cs="Times New Roman"/>
          <w:sz w:val="24"/>
        </w:rPr>
        <w:br/>
      </w:r>
      <w:r>
        <w:rPr>
          <w:rFonts w:ascii="Times New Roman" w:hAnsi="Times New Roman" w:eastAsia="Times New Roman" w:cs="Times New Roman"/>
          <w:b/>
          <w:sz w:val="24"/>
        </w:rPr>
        <w:t>[CORPORATION]</w:t>
      </w:r>
    </w:p>
    <w:p>
      <w:pPr>
        <w:keepNext w:val="0"/>
        <w:spacing w:before="200" w:after="0" w:line="260" w:lineRule="exact"/>
        <w:ind w:left="720" w:right="0" w:firstLine="0"/>
        <w:jc w:val="both"/>
      </w:pPr>
      <w:r>
        <w:rPr>
          <w:rFonts w:ascii="Times New Roman" w:hAnsi="Times New Roman" w:eastAsia="Times New Roman" w:cs="Times New Roman"/>
          <w:b w:val="0"/>
          <w:sz w:val="24"/>
        </w:rPr>
        <w:t>This Plan of Dissolution (the “Plan”) of [corporation] (the “Corporation”) is for the purpose of effecting the liquidation and dissolution of the Corporation pursuant to the applicable provisions of the Minnesota Business Corporation Act and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Plan shall be submitted to the shareholders of the Corporation for approval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shareholders called for such purpose.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Plan shall become effective on the date upon which it is approved by the shareholders of the Corporation and after the Corporation has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Intent to Dissolve with the Minnesota Secretary of State (the “Effective Date”).</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From and after the Effective Date, the Corporation shall not engage in any business activities and shall continue solely for the purpose of winding up its affairs.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Beginning on the Effective Date, the Corporation shall take the following actions through its officers: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 transfer, assign, convey, liquidate or abandon any of the properties or assets of the Corporation which, in the judgment of its officers should be sold, transferred, assigned, conveyed, liquidated or abandoned to facilitate the liquidation of the Corporation;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 transfer or assign all of the Corporation’s known liabilities and expenses.</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Adoption of this Plan by the shareholders shall constitute the approval of the shareholders of the sale, exchange or other disposition in liquidation of all of the remaining property and assets of the Company after dissolution, whether such sale, exchange, or other disposition occurs in one transaction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transactions, and shall constitute ratification of all contracts for sale, exchange, or other disposition which are conditioned on adoption of this Plan.</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After payment of all known liabilities and expenses of the Corporation, the officers shall set aside cash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reserve fund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estimated by the officers to be necessary for the payment of estimated expenses, taxes and contingent liabilities (including expenses of liquidation, dissolution and termination of the existence of the Corporation and distribution of assets) and shall distribute the balance of any cash assets of the Corporation pro rata to the shareholders in proportion to the number of shares owned by them.</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 such time as the officers have determined that all liabilities and expenses of the Corporation have been paid or provided for, and in any event within 12 months of the Effective Date, the officers shall cause any funds remaining to be distributed pro rata to the shareholders in proportion to the number of shares owned by them.</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Corporation shall continue to indemnify its officers, directors, employees, agents, and trustees, in accordance with its Articles of Incorporation, Bylaws, and contractual arrangements as therein or elsewhere provided, the Corporation’s existing directors’ and officers’ liability insurance policy and applicable, and such indemnification shall apply to acts or omissions of such persons in connection with the implementation of this Plan and the winding up of the affairs of the Corporation. The Board of Directors is authorized to obtain and maintain insurance as may be necessary to cover the Corporation’s indemnification obligations.</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the authorization or consent to this Plan and the transactions contemplated hereby, the shareholders of the Corporation or the Board of Directors may modify, amend, or abandon this Plan and the transactions contemplated hereby without further action by the shareholders to the extent permitted by the Minnesota Business Corporation Act.</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Promptly after the completion of the distributions set forth above, the Corporation shall be dissolved in accordance with the laws of the State of Minnesota and all tax returns, information returns and other documents required to be filed with the Internal Revenue Service and/or Secretary of State shall be filed.</w:t>
      </w:r>
    </w:p>
    <w:p>
      <w:pPr>
        <w:keepNext w:val="0"/>
        <w:spacing w:before="200" w:after="0" w:line="260" w:lineRule="exact"/>
        <w:ind w:left="720" w:right="0" w:firstLine="0"/>
        <w:jc w:val="both"/>
      </w:pPr>
      <w:r>
        <w:rPr>
          <w:rFonts w:ascii="Times New Roman" w:hAnsi="Times New Roman" w:eastAsia="Times New Roman" w:cs="Times New Roman"/>
          <w:b w:val="0"/>
          <w:sz w:val="24"/>
        </w:rPr>
        <w:t>This Plan has been adopted by the Board of Directors of the Corporation as of [date].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By: [name]</w:t>
      </w:r>
    </w:p>
    <w:p>
      <w:pPr>
        <w:keepNext w:val="0"/>
        <w:spacing w:before="120" w:after="0" w:line="260" w:lineRule="exact"/>
        <w:ind w:left="720" w:right="0" w:firstLine="0"/>
        <w:jc w:val="left"/>
      </w:pPr>
      <w:r>
        <w:rPr>
          <w:rFonts w:ascii="Times New Roman" w:hAnsi="Times New Roman" w:eastAsia="Times New Roman" w:cs="Times New Roman"/>
          <w:b w:val="0"/>
          <w:sz w:val="24"/>
        </w:rPr>
        <w:t>Secretary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