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and Distribution of Assets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Plan of Dissolution and Distribution of Assets of</w:t>
      </w:r>
    </w:p>
    <w:p>
      <w:pPr>
        <w:keepNext w:val="0"/>
        <w:spacing w:before="200" w:after="0" w:line="260" w:lineRule="exact"/>
        <w:ind w:left="360" w:right="0" w:firstLine="0"/>
        <w:jc w:val="both"/>
      </w:pPr>
      <w:r>
        <w:rPr>
          <w:rFonts w:ascii="Times New Roman" w:hAnsi="Times New Roman" w:eastAsia="Times New Roman" w:cs="Times New Roman"/>
          <w:b/>
          <w:sz w:val="24"/>
        </w:rPr>
        <w:t>[Name of Corporation]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approval of the dissolution of the Corporation in accordance with Chapter 82 of the Nevada Revised Statutes, the Corporation shall be dissolved, its affairs wound up, and its assets distributed as follows: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assets owned by the Corporation shall be disposed of in accordance with Section 82.461(4) of the Nevada Revised Statutes. Notwithstanding the foregoing, other than with respect to assets that are required to be disposed of pursuant to Section 82.461(4)(</w:t>
      </w:r>
      <w:r>
        <w:rPr>
          <w:rFonts w:ascii="Times New Roman" w:hAnsi="Times New Roman" w:eastAsia="Times New Roman" w:cs="Times New Roman"/>
          <w:b/>
          <w:sz w:val="24"/>
        </w:rPr>
        <w:t>a</w:t>
      </w:r>
      <w:r>
        <w:rPr>
          <w:rFonts w:ascii="Times New Roman" w:hAnsi="Times New Roman" w:eastAsia="Times New Roman" w:cs="Times New Roman"/>
          <w:b w:val="0"/>
          <w:sz w:val="24"/>
        </w:rPr>
        <w:t>)-(c) of the Nevada Revised Statutes, other assets of the Corporation may be sold on such terms and at such prices as [names or positions of those authorized to sell assets] may determine in their judgment with the proceeds thereof, subject to payment of the Corporation's liabilities, distributed as follows: (set forth plan of distribution--subject to Section 82.461(4)(d) of the Nevada Revised Statutes).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has no liabilities.</w:t>
      </w:r>
    </w:p>
    <w:p>
      <w:pPr>
        <w:keepNext w:val="0"/>
        <w:spacing w:before="200" w:after="0" w:line="260" w:lineRule="exact"/>
        <w:ind w:left="1080" w:right="0" w:firstLine="0"/>
        <w:jc w:val="both"/>
      </w:pPr>
      <w:r>
        <w:rPr>
          <w:rFonts w:ascii="Times New Roman" w:hAnsi="Times New Roman" w:eastAsia="Times New Roman" w:cs="Times New Roman"/>
          <w:b/>
          <w:sz w:val="24"/>
        </w:rPr>
        <w:t>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has liabilities of $[amount]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those liabilities is as follows: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