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Poison Pill Adoption in Response to Shareholder Activism Board Memorandum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MEMORANDUM</w:t>
      </w:r>
    </w:p>
    <w:p>
      <w:pPr>
        <w:keepNext w:val="0"/>
        <w:spacing w:before="200" w:after="0" w:line="260" w:lineRule="exact"/>
        <w:ind w:left="720" w:right="0" w:firstLine="0"/>
        <w:jc w:val="both"/>
      </w:pPr>
      <w:r>
        <w:rPr>
          <w:rFonts w:ascii="Times New Roman" w:hAnsi="Times New Roman" w:eastAsia="Times New Roman" w:cs="Times New Roman"/>
          <w:b w:val="0"/>
          <w:sz w:val="24"/>
        </w:rPr>
        <w:t>To: The Board of Directors of [Company] (the “Board”)</w:t>
      </w:r>
    </w:p>
    <w:p>
      <w:pPr>
        <w:keepNext w:val="0"/>
        <w:spacing w:before="200" w:after="0" w:line="260" w:lineRule="exact"/>
        <w:ind w:left="720" w:right="0" w:firstLine="0"/>
        <w:jc w:val="both"/>
      </w:pPr>
      <w:r>
        <w:rPr>
          <w:rFonts w:ascii="Times New Roman" w:hAnsi="Times New Roman" w:eastAsia="Times New Roman" w:cs="Times New Roman"/>
          <w:b w:val="0"/>
          <w:sz w:val="24"/>
        </w:rPr>
        <w:t>From: [Firm/In-House Counsel Name]</w:t>
      </w:r>
    </w:p>
    <w:p>
      <w:pPr>
        <w:keepNext w:val="0"/>
        <w:spacing w:before="200" w:after="0" w:line="260" w:lineRule="exact"/>
        <w:ind w:left="720" w:right="0" w:firstLine="0"/>
        <w:jc w:val="both"/>
      </w:pPr>
      <w:r>
        <w:rPr>
          <w:rFonts w:ascii="Times New Roman" w:hAnsi="Times New Roman" w:eastAsia="Times New Roman" w:cs="Times New Roman"/>
          <w:b w:val="0"/>
          <w:sz w:val="24"/>
        </w:rPr>
        <w:t>Date: [_____]</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 Adopting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in Response to Shareholder Activism</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[______] (the “Investor”) has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13D with the Securities and Exchange Commission (“SEC”) reporting that it holds [__]% of the Company’s outstanding stock and has plans to engage actively with the Company in order to [_______].</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Board is considering adopting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rights plan (also known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in order to strengthen the Company’s negotiating position with the Investor. The rights plan would grant the current shareholders of the Company (other than the Investor) the right to purchase additional shares of Company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steeply reduced price if the Investor’s aggregate stock holdings increase above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threshold amount (discussed below). This would dilute the Investor’s holdings (and associated voting rights).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properly adopted poison pill will significantly increase the cost to the Investor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activist campaign and incentivize the Investor to work productively with the Board rather than seek to take unilateral action.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memo will discuss the legal framework that applies to adopting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the options available for structuring the poison pill, and associated legal and business risks.</w:t>
      </w:r>
    </w:p>
    <w:p>
      <w:pPr>
        <w:keepNext w:val="0"/>
        <w:spacing w:before="120" w:after="0" w:line="260" w:lineRule="exact"/>
        <w:ind w:left="360" w:right="0" w:firstLine="0"/>
        <w:jc w:val="left"/>
      </w:pPr>
      <w:r>
        <w:rPr>
          <w:rFonts w:ascii="Times New Roman" w:hAnsi="Times New Roman" w:eastAsia="Times New Roman" w:cs="Times New Roman"/>
          <w:b/>
          <w:sz w:val="24"/>
        </w:rPr>
        <w:t>Delaware Law-Fiduciary Duties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Before adopting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it is crucial that the Board comply with requisite deliberative standards and document its decision-making process. The independent directors on the Board should play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key role in all deliberations regarding the poison pill and other potential defensive measures. Because this poison pill would be enacted in response to investor actions, it will be subject to heightened scrutiny rather than being solely subject to the protection of the business judgment rule. Under this heightened standard, directors must demonstrate that:</w:t>
      </w:r>
    </w:p>
    <w:p>
      <w:pPr>
        <w:keepNext w:val="0"/>
        <w:spacing w:before="200" w:after="0" w:line="260" w:lineRule="exact"/>
        <w:ind w:left="1080" w:right="0" w:firstLine="0"/>
        <w:jc w:val="both"/>
      </w:pPr>
      <w:r>
        <w:rPr>
          <w:rFonts w:ascii="Times New Roman" w:hAnsi="Times New Roman" w:eastAsia="Times New Roman" w:cs="Times New Roman"/>
          <w:b w:val="0"/>
          <w:sz w:val="24"/>
        </w:rPr>
        <w:t>•</w:t>
        <w:tab/>
        <w:t xml:space="preserve">they had reasonable grounds for believing that there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danger to corporate policy and effectiveness, and</w:t>
      </w:r>
    </w:p>
    <w:p>
      <w:pPr>
        <w:keepNext w:val="0"/>
        <w:spacing w:before="200" w:after="0" w:line="260" w:lineRule="exact"/>
        <w:ind w:left="1080" w:right="0" w:firstLine="0"/>
        <w:jc w:val="both"/>
      </w:pPr>
      <w:r>
        <w:rPr>
          <w:rFonts w:ascii="Times New Roman" w:hAnsi="Times New Roman" w:eastAsia="Times New Roman" w:cs="Times New Roman"/>
          <w:b w:val="0"/>
          <w:sz w:val="24"/>
        </w:rPr>
        <w:t>•</w:t>
        <w:tab/>
        <w:t xml:space="preserve">the measures adopted were reasonable in relation to the threat they posed (see, Unocal v. Mesa Petroleum Co. 493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.2d 946 (Del. 1985) and Unitrin, Inc. v. Am. Gen. Corp., 651 </w:t>
      </w:r>
      <w:r>
        <w:rPr>
          <w:rFonts w:ascii="Times New Roman" w:hAnsi="Times New Roman" w:eastAsia="Times New Roman" w:cs="Times New Roman"/>
          <w:b/>
          <w:sz w:val="24"/>
        </w:rPr>
        <w:t>A</w:t>
      </w:r>
      <w:r>
        <w:rPr>
          <w:rFonts w:ascii="Times New Roman" w:hAnsi="Times New Roman" w:eastAsia="Times New Roman" w:cs="Times New Roman"/>
          <w:b w:val="0"/>
          <w:sz w:val="24"/>
        </w:rPr>
        <w:t>.2d 1361 (Del. 1995)).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Activist investors may pose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threat to corporate policy and effectiveness by:</w:t>
      </w:r>
    </w:p>
    <w:p>
      <w:pPr>
        <w:keepNext w:val="0"/>
        <w:spacing w:before="200" w:after="0" w:line="260" w:lineRule="exact"/>
        <w:ind w:left="1080" w:right="0" w:firstLine="0"/>
        <w:jc w:val="both"/>
      </w:pPr>
      <w:r>
        <w:rPr>
          <w:rFonts w:ascii="Times New Roman" w:hAnsi="Times New Roman" w:eastAsia="Times New Roman" w:cs="Times New Roman"/>
          <w:b w:val="0"/>
          <w:sz w:val="24"/>
        </w:rPr>
        <w:t>•</w:t>
        <w:tab/>
        <w:t>Seeking to implement Company policies that prioritize short-term gains rather than long-term growth</w:t>
      </w:r>
    </w:p>
    <w:p>
      <w:pPr>
        <w:keepNext w:val="0"/>
        <w:spacing w:before="200" w:after="0" w:line="260" w:lineRule="exact"/>
        <w:ind w:left="1080" w:right="0" w:firstLine="0"/>
        <w:jc w:val="both"/>
      </w:pPr>
      <w:r>
        <w:rPr>
          <w:rFonts w:ascii="Times New Roman" w:hAnsi="Times New Roman" w:eastAsia="Times New Roman" w:cs="Times New Roman"/>
          <w:b w:val="0"/>
          <w:sz w:val="24"/>
        </w:rPr>
        <w:t>•</w:t>
        <w:tab/>
        <w:t xml:space="preserve">Seeking to gain “creeping control” without paying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 premium to the Company’s stockholders</w:t>
      </w:r>
    </w:p>
    <w:p>
      <w:pPr>
        <w:keepNext w:val="0"/>
        <w:spacing w:before="200" w:after="0" w:line="260" w:lineRule="exact"/>
        <w:ind w:left="1080" w:right="0" w:firstLine="0"/>
        <w:jc w:val="both"/>
      </w:pPr>
      <w:r>
        <w:rPr>
          <w:rFonts w:ascii="Times New Roman" w:hAnsi="Times New Roman" w:eastAsia="Times New Roman" w:cs="Times New Roman"/>
          <w:b w:val="0"/>
          <w:sz w:val="24"/>
        </w:rPr>
        <w:t>•</w:t>
        <w:tab/>
        <w:t>Gaining “negative control” of the Company by holding enough shares to block certain corporate actions</w:t>
      </w:r>
    </w:p>
    <w:p>
      <w:pPr>
        <w:keepNext w:val="0"/>
        <w:spacing w:before="200" w:after="0" w:line="260" w:lineRule="exact"/>
        <w:ind w:left="1080" w:right="0" w:firstLine="0"/>
        <w:jc w:val="both"/>
      </w:pPr>
      <w:r>
        <w:rPr>
          <w:rFonts w:ascii="Times New Roman" w:hAnsi="Times New Roman" w:eastAsia="Times New Roman" w:cs="Times New Roman"/>
          <w:b w:val="0"/>
          <w:sz w:val="24"/>
        </w:rPr>
        <w:t>•</w:t>
        <w:tab/>
        <w:t xml:space="preserve">Amassing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block of shares that enables it to exercise disproportionate control and influence over the Company’s policies (see, Third Point LLC v. Ruprecht, et al., C.</w:t>
      </w:r>
      <w:r>
        <w:rPr>
          <w:rFonts w:ascii="Times New Roman" w:hAnsi="Times New Roman" w:eastAsia="Times New Roman" w:cs="Times New Roman"/>
          <w:b/>
          <w:sz w:val="24"/>
        </w:rPr>
        <w:t>A</w:t>
      </w:r>
      <w:r>
        <w:rPr>
          <w:rFonts w:ascii="Times New Roman" w:hAnsi="Times New Roman" w:eastAsia="Times New Roman" w:cs="Times New Roman"/>
          <w:b w:val="0"/>
          <w:sz w:val="24"/>
        </w:rPr>
        <w:t>. No. 9469-VCP (Del. Ch. May 2, 2014))</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poison pill may not be coercive or preclusive. This means that the plan must not impose any consequences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for voting its shares as it pleases and that it must not make the results of any stockholder vote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foregone conclusion.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It is not reasonable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solely to prevent the Investor from voting its shares in favor of proposals or nominees that the Board does not agree with.</w:t>
      </w:r>
    </w:p>
    <w:p>
      <w:pPr>
        <w:keepNext w:val="0"/>
        <w:spacing w:before="120" w:after="0" w:line="260" w:lineRule="exact"/>
        <w:ind w:left="360" w:right="0" w:firstLine="0"/>
        <w:jc w:val="left"/>
      </w:pPr>
      <w:r>
        <w:rPr>
          <w:rFonts w:ascii="Times New Roman" w:hAnsi="Times New Roman" w:eastAsia="Times New Roman" w:cs="Times New Roman"/>
          <w:b/>
          <w:sz w:val="24"/>
        </w:rPr>
        <w:t xml:space="preserve">Approval and Authority to Adopt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Rights Plan</w:t>
      </w:r>
    </w:p>
    <w:p>
      <w:pPr>
        <w:keepNext w:val="0"/>
        <w:spacing w:before="200" w:after="0" w:line="260" w:lineRule="exact"/>
        <w:ind w:left="720" w:right="0" w:firstLine="0"/>
        <w:jc w:val="both"/>
      </w:pPr>
      <w:r>
        <w:rPr>
          <w:rFonts w:ascii="Times New Roman" w:hAnsi="Times New Roman" w:eastAsia="Times New Roman" w:cs="Times New Roman"/>
          <w:b w:val="0"/>
          <w:sz w:val="24"/>
        </w:rPr>
        <w:t>The Board may adopt the poison pill (after engaging in and documenting the robust deliberative process to comply with their fiduciary obligations discussed above) without shareholder approval.</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Board should also make sure that there are no agreements or financial covenants in place that limit its ability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rights plan, or issue additional rights or shares under such plan. If so, lender approval or covenant waiver may need to be secured in advance of adoption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agreement entered into, if appropriate.</w:t>
      </w:r>
    </w:p>
    <w:p>
      <w:pPr>
        <w:keepNext w:val="0"/>
        <w:spacing w:before="120" w:after="0" w:line="260" w:lineRule="exact"/>
        <w:ind w:left="360" w:right="0" w:firstLine="0"/>
        <w:jc w:val="left"/>
      </w:pPr>
      <w:r>
        <w:rPr>
          <w:rFonts w:ascii="Times New Roman" w:hAnsi="Times New Roman" w:eastAsia="Times New Roman" w:cs="Times New Roman"/>
          <w:b/>
          <w:sz w:val="24"/>
        </w:rPr>
        <w:t>Details of the Shareholder Rights Plan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the Board decides to implement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it must also decide on the characteristics of the plan. The key provisions include:</w:t>
      </w:r>
    </w:p>
    <w:p>
      <w:pPr>
        <w:keepNext w:val="0"/>
        <w:spacing w:before="120" w:after="0" w:line="260" w:lineRule="exact"/>
        <w:ind w:left="720" w:right="0" w:firstLine="0"/>
        <w:jc w:val="left"/>
      </w:pPr>
      <w:r>
        <w:rPr>
          <w:rFonts w:ascii="Times New Roman" w:hAnsi="Times New Roman" w:eastAsia="Times New Roman" w:cs="Times New Roman"/>
          <w:b w:val="0"/>
          <w:sz w:val="24"/>
        </w:rPr>
        <w:t>Thresholds/Triggers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described above,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will be “triggered” or effective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acquiring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percentage of the Company's stock.</w:t>
      </w:r>
    </w:p>
    <w:p>
      <w:pPr>
        <w:keepNext w:val="0"/>
        <w:spacing w:before="120" w:after="0" w:line="260" w:lineRule="exact"/>
        <w:ind w:left="1440" w:right="0" w:firstLine="0"/>
        <w:jc w:val="left"/>
      </w:pPr>
      <w:r>
        <w:rPr>
          <w:rFonts w:ascii="Times New Roman" w:hAnsi="Times New Roman" w:eastAsia="Times New Roman" w:cs="Times New Roman"/>
          <w:b w:val="0"/>
          <w:sz w:val="24"/>
        </w:rPr>
        <w:t>Thresholds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Board should consider what the threshold ownership percentage will be that triggers the rights plan. Typically, companies set the threshold at 10-20%, with lower percentages being more company-friendly and higher percentages being more shareholder-friendly. The threshold will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the “reasonableness” analysis in any court challenge, so the Board should carefully consider what this threshold should be.</w:t>
      </w:r>
    </w:p>
    <w:p>
      <w:pPr>
        <w:keepNext w:val="0"/>
        <w:spacing w:before="120" w:after="0" w:line="260" w:lineRule="exact"/>
        <w:ind w:left="1440" w:right="0" w:firstLine="0"/>
        <w:jc w:val="left"/>
      </w:pPr>
      <w:r>
        <w:rPr>
          <w:rFonts w:ascii="Times New Roman" w:hAnsi="Times New Roman" w:eastAsia="Times New Roman" w:cs="Times New Roman"/>
          <w:b w:val="0"/>
          <w:sz w:val="24"/>
        </w:rPr>
        <w:t>Beneficial Ownership Triggers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Traditionally,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defines beneficial ownership to cover any securities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owns directly or indirectly; has the right to acquire; has the right to vote or dispose of, or that are beneficially owned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with which the person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or arrangement for the purpose of acquiring, holding, voting, or disposing of any voting securities.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activism context, however, companies are likely to adopt rights plans that include equity derivative positions when calculating beneficial ownership. Otherwise, activist stockholders could accumulate shares without necessarily triggering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classic rights plan. In addition, it is still unclear whether ownership of derivative positions triggers disclosure obligations under federal securities laws.</w:t>
      </w:r>
    </w:p>
    <w:p>
      <w:pPr>
        <w:keepNext w:val="0"/>
        <w:spacing w:before="120" w:after="0" w:line="260" w:lineRule="exact"/>
        <w:ind w:left="360" w:right="0" w:firstLine="0"/>
        <w:jc w:val="left"/>
      </w:pPr>
      <w:r>
        <w:rPr>
          <w:rFonts w:ascii="Times New Roman" w:hAnsi="Times New Roman" w:eastAsia="Times New Roman" w:cs="Times New Roman"/>
          <w:b w:val="0"/>
          <w:sz w:val="24"/>
        </w:rPr>
        <w:t>Other Issues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Other issues that the Board should consider when designing the trigger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include:</w:t>
      </w:r>
    </w:p>
    <w:p>
      <w:pPr>
        <w:keepNext w:val="0"/>
        <w:spacing w:before="120" w:after="0" w:line="260" w:lineRule="exact"/>
        <w:ind w:left="1080" w:right="0" w:firstLine="0"/>
        <w:jc w:val="left"/>
      </w:pPr>
      <w:r>
        <w:rPr>
          <w:rFonts w:ascii="Times New Roman" w:hAnsi="Times New Roman" w:eastAsia="Times New Roman" w:cs="Times New Roman"/>
          <w:b w:val="0"/>
          <w:sz w:val="24"/>
        </w:rPr>
        <w:t>•</w:t>
        <w:tab/>
      </w:r>
      <w:r>
        <w:rPr>
          <w:rFonts w:ascii="Times New Roman" w:hAnsi="Times New Roman" w:eastAsia="Times New Roman" w:cs="Times New Roman"/>
          <w:b w:val="0"/>
          <w:sz w:val="24"/>
        </w:rPr>
        <w:t>Post-trigger window.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Poison pills typically provide that the pill cannot be terminated once triggered.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many rights plans grant the Board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window of time (about 10 days) to either amend or redeem the pill after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has crossed the threshold. While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post-trigger window is often necessary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practical matter, the Board should keep in mind that it may dilute the deterrent effect of the rights plan.</w:t>
      </w:r>
    </w:p>
    <w:p>
      <w:pPr>
        <w:keepNext w:val="0"/>
        <w:spacing w:before="120" w:after="0" w:line="260" w:lineRule="exact"/>
        <w:ind w:left="1080" w:right="0" w:firstLine="0"/>
        <w:jc w:val="left"/>
      </w:pPr>
      <w:r>
        <w:rPr>
          <w:rFonts w:ascii="Times New Roman" w:hAnsi="Times New Roman" w:eastAsia="Times New Roman" w:cs="Times New Roman"/>
          <w:b w:val="0"/>
          <w:sz w:val="24"/>
        </w:rPr>
        <w:t>•</w:t>
        <w:tab/>
      </w:r>
      <w:r>
        <w:rPr>
          <w:rFonts w:ascii="Times New Roman" w:hAnsi="Times New Roman" w:eastAsia="Times New Roman" w:cs="Times New Roman"/>
          <w:b w:val="0"/>
          <w:sz w:val="24"/>
        </w:rPr>
        <w:t>Exempt persons.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Board wishes to exempt specific persons from triggering the rights plan, it must carve out the exempted party in the definition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"acquiring person." Note that the Board’s power to grant this exemption should terminate if the pill is triggered by another shareholder.</w:t>
      </w:r>
    </w:p>
    <w:p>
      <w:pPr>
        <w:keepNext w:val="0"/>
        <w:spacing w:before="120" w:after="0" w:line="260" w:lineRule="exact"/>
        <w:ind w:left="1080" w:right="0" w:firstLine="0"/>
        <w:jc w:val="left"/>
      </w:pPr>
      <w:r>
        <w:rPr>
          <w:rFonts w:ascii="Times New Roman" w:hAnsi="Times New Roman" w:eastAsia="Times New Roman" w:cs="Times New Roman"/>
          <w:b w:val="0"/>
          <w:sz w:val="24"/>
        </w:rPr>
        <w:t>•</w:t>
        <w:tab/>
      </w:r>
      <w:r>
        <w:rPr>
          <w:rFonts w:ascii="Times New Roman" w:hAnsi="Times New Roman" w:eastAsia="Times New Roman" w:cs="Times New Roman"/>
          <w:b w:val="0"/>
          <w:sz w:val="24"/>
        </w:rPr>
        <w:t>Grandfathered stockholders.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Company has stockholders who already hold stock at or above the triggering threshold, those stockholders must be grandfathered into the rights plan to avoid triggering the poison pill immediately upon its adoption. The Board must also consider whether it wishes to "freeze" the holdings of grandfathered stockholders or permit them to acquire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0.5% to 1 % of the Company's shares before triggering the pill. Additionally, it must decide whether to extend grandfathered status to the affiliates of such stockholders.</w:t>
      </w:r>
    </w:p>
    <w:p>
      <w:pPr>
        <w:keepNext w:val="0"/>
        <w:spacing w:before="120" w:after="0" w:line="260" w:lineRule="exact"/>
        <w:ind w:left="1080" w:right="0" w:firstLine="0"/>
        <w:jc w:val="left"/>
      </w:pPr>
      <w:r>
        <w:rPr>
          <w:rFonts w:ascii="Times New Roman" w:hAnsi="Times New Roman" w:eastAsia="Times New Roman" w:cs="Times New Roman"/>
          <w:b w:val="0"/>
          <w:sz w:val="24"/>
        </w:rPr>
        <w:t>•</w:t>
        <w:tab/>
      </w:r>
      <w:r>
        <w:rPr>
          <w:rFonts w:ascii="Times New Roman" w:hAnsi="Times New Roman" w:eastAsia="Times New Roman" w:cs="Times New Roman"/>
          <w:b w:val="0"/>
          <w:sz w:val="24"/>
        </w:rPr>
        <w:t>Dead-hand, slow hand or no hand provisions.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Features that limit the 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future board (i.e.,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board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successful proxy contest) from redeeming the rights plan, such as “Dead-hand” provisions, which allow only the continuing directors to redeem the rights plan; “slow-hand” provisions, which specify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in which the plan may not be redeemed (typically 180 days); or “no-hand” provisions, which prohibit redemption altogether, are invalid under Delaware law and should not be included in the rights plan.</w:t>
      </w:r>
    </w:p>
    <w:p>
      <w:pPr>
        <w:keepNext w:val="0"/>
        <w:spacing w:before="120" w:after="0" w:line="260" w:lineRule="exact"/>
        <w:ind w:left="360" w:right="0" w:firstLine="0"/>
        <w:jc w:val="left"/>
      </w:pPr>
      <w:r>
        <w:rPr>
          <w:rFonts w:ascii="Times New Roman" w:hAnsi="Times New Roman" w:eastAsia="Times New Roman" w:cs="Times New Roman"/>
          <w:b w:val="0"/>
          <w:sz w:val="24"/>
        </w:rPr>
        <w:t>Term</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Board should consider the appropriate duration for the poison pill. If the Board adopts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poison pill now, it should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duration of no more than one year and its renewal should be put up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vote at the Company’s next annual meeting. In the past, rights plans were put in place for the long term, lasting for up to 10 years. However, they are now trending much shorter, between one and three years, and disfavor among large institutional investors and proxy advisory firms for plans lasting longer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year has set current practices to terms of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year (discussed further below).</w:t>
      </w:r>
    </w:p>
    <w:p>
      <w:pPr>
        <w:keepNext w:val="0"/>
        <w:spacing w:before="120" w:after="0" w:line="260" w:lineRule="exact"/>
        <w:ind w:left="360" w:right="0" w:firstLine="0"/>
        <w:jc w:val="left"/>
      </w:pPr>
      <w:r>
        <w:rPr>
          <w:rFonts w:ascii="Times New Roman" w:hAnsi="Times New Roman" w:eastAsia="Times New Roman" w:cs="Times New Roman"/>
          <w:b/>
          <w:sz w:val="24"/>
        </w:rPr>
        <w:t xml:space="preserve">Potential Risks of Adopting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Poison Pill</w:t>
      </w:r>
    </w:p>
    <w:p>
      <w:pPr>
        <w:keepNext w:val="0"/>
        <w:spacing w:before="120" w:after="0" w:line="260" w:lineRule="exact"/>
        <w:ind w:left="720" w:right="0" w:firstLine="0"/>
        <w:jc w:val="left"/>
      </w:pPr>
      <w:r>
        <w:rPr>
          <w:rFonts w:ascii="Times New Roman" w:hAnsi="Times New Roman" w:eastAsia="Times New Roman" w:cs="Times New Roman"/>
          <w:b w:val="0"/>
          <w:sz w:val="24"/>
        </w:rPr>
        <w:t>Proxy Advisory Response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Proxy advisory firms such as ISS and Glass Lewis frown upon poison pills, especially if they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duration of longer than 12 months and will recommend that stockholders vote against all board members in office at the time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is adopted or renewed. ISS and Glass Lewis may recommend votes against members of the Company’s Governance committee or other Board members even if the term of the rights plan is less than one year depending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factors, including the reasons for adopting the plan and overall corporate governance history.</w:t>
      </w:r>
    </w:p>
    <w:p>
      <w:pPr>
        <w:keepNext w:val="0"/>
        <w:spacing w:before="120" w:after="0" w:line="260" w:lineRule="exact"/>
        <w:ind w:left="720" w:right="0" w:firstLine="0"/>
        <w:jc w:val="left"/>
      </w:pPr>
      <w:r>
        <w:rPr>
          <w:rFonts w:ascii="Times New Roman" w:hAnsi="Times New Roman" w:eastAsia="Times New Roman" w:cs="Times New Roman"/>
          <w:b w:val="0"/>
          <w:sz w:val="24"/>
        </w:rPr>
        <w:t>Court Challenge</w:t>
      </w:r>
    </w:p>
    <w:p>
      <w:pPr>
        <w:keepNext w:val="0"/>
        <w:spacing w:before="200" w:after="0" w:line="260" w:lineRule="exact"/>
        <w:ind w:left="1080" w:right="0" w:firstLine="0"/>
        <w:jc w:val="both"/>
      </w:pPr>
      <w:r>
        <w:rPr>
          <w:rFonts w:ascii="Times New Roman" w:hAnsi="Times New Roman" w:eastAsia="Times New Roman" w:cs="Times New Roman"/>
          <w:b w:val="0"/>
          <w:sz w:val="24"/>
        </w:rPr>
        <w:t>The Investor could challenge the adoption of the rights plan in the courts. While taking the steps above to comply with the Board’s fiduciary duties should result in the plan being upheld, there are always uncertainties in litigation. In addition, litigation will be costly and time-consuming and will divert resources from the Company’s ongoing business operations.</w:t>
      </w:r>
    </w:p>
    <w:p>
      <w:pPr>
        <w:keepNext w:val="0"/>
        <w:spacing w:before="120" w:after="0" w:line="260" w:lineRule="exact"/>
        <w:ind w:left="720" w:right="0" w:firstLine="0"/>
        <w:jc w:val="left"/>
      </w:pPr>
      <w:r>
        <w:rPr>
          <w:rFonts w:ascii="Times New Roman" w:hAnsi="Times New Roman" w:eastAsia="Times New Roman" w:cs="Times New Roman"/>
          <w:b w:val="0"/>
          <w:sz w:val="24"/>
        </w:rPr>
        <w:t>Market Risks</w:t>
      </w:r>
    </w:p>
    <w:p>
      <w:pPr>
        <w:keepNext w:val="0"/>
        <w:spacing w:before="200" w:after="0" w:line="260" w:lineRule="exact"/>
        <w:ind w:left="1080" w:right="0" w:firstLine="0"/>
        <w:jc w:val="both"/>
      </w:pPr>
      <w:r>
        <w:rPr>
          <w:rFonts w:ascii="Times New Roman" w:hAnsi="Times New Roman" w:eastAsia="Times New Roman" w:cs="Times New Roman"/>
          <w:b w:val="0"/>
          <w:sz w:val="24"/>
        </w:rPr>
        <w:t>Although shareholder rights plans are intended to increase the value of shareholders’ holdings in the Company, they can also alienate shareholders by creating the impression that the Board seeks to entrench its position at the expense of Company growth. For this reason, it is important that the Board consult with the Company’s public relations team in order to communicate with shareholders clearly about the purpose of the poison pill and the Board’s overall strategy.</w:t>
      </w:r>
    </w:p>
    <w:p>
      <w:pPr>
        <w:keepNext w:val="0"/>
        <w:spacing w:before="200" w:after="0" w:line="260" w:lineRule="exact"/>
        <w:ind w:left="1080" w:right="0" w:firstLine="0"/>
        <w:jc w:val="both"/>
      </w:pPr>
      <w:r>
        <w:rPr>
          <w:rFonts w:ascii="Times New Roman" w:hAnsi="Times New Roman" w:eastAsia="Times New Roman" w:cs="Times New Roman"/>
          <w:b w:val="0"/>
          <w:sz w:val="24"/>
        </w:rPr>
        <w:t>It is also possible that the poison pill will not deter the Investor from pursuing its plans for the Company and that the Investor will propose its own slate of directors for the Board at the next annual meeting or take other actions aimed at eliminating the poison pill in the future.</w:t>
      </w:r>
    </w:p>
    <w:p>
      <w:pPr>
        <w:keepNext w:val="0"/>
        <w:spacing w:before="200" w:after="0" w:line="260" w:lineRule="exact"/>
        <w:ind w:left="1080" w:right="0" w:firstLine="0"/>
        <w:jc w:val="both"/>
      </w:pPr>
      <w:r>
        <w:rPr>
          <w:rFonts w:ascii="Times New Roman" w:hAnsi="Times New Roman" w:eastAsia="Times New Roman" w:cs="Times New Roman"/>
          <w:b w:val="0"/>
          <w:sz w:val="24"/>
        </w:rPr>
        <w:t>We look forward to working with the Board and the Company in evaluating and responding to these events. Should you have any questions, or should you wish to discuss any of these items in further detail, please do not hesitate to contact us.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