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South Carolina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South Carolina's Uniform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does not authorize the agent to make health care decisions for you. To authorize someone to make health care decisions for you, you will need to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Power of Attorney and/or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Declaration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Desire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Death, both of which are Advanced Directives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file the revocation with the Register of Deeds office in the county where the revoked power of attorney is filed and in the county of domicile, if different.</w:t>
      </w:r>
    </w:p>
    <w:p>
      <w:pPr>
        <w:keepNext w:val="0"/>
        <w:spacing w:before="200" w:after="0" w:line="260" w:lineRule="exact"/>
        <w:ind w:left="1080" w:right="0" w:firstLine="0"/>
        <w:jc w:val="both"/>
      </w:pPr>
      <w:r>
        <w:rPr>
          <w:rFonts w:ascii="Times New Roman" w:hAnsi="Times New Roman" w:eastAsia="Times New Roman" w:cs="Times New Roman"/>
          <w:b w:val="0"/>
          <w:sz w:val="24"/>
        </w:rPr>
        <w:t>Unless you state otherwise, your agent is entitled to reasonable compensation. Additionally, your agent is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or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Unless the power of attorney provides otherwise, coagents may act independently of each other.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power of attorney shall be durable unless you state otherwise in the Special Instructions section.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South Carolina Uniform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 pursuant to S.C. Code Ann. § 62-7-602A.</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the limitations of the South Carolina Uniform Power of Attorney Act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fiduciary powers that the principal has authority to delegate, and/or</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ancestor, spouse, or descendant SHALL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 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 (month) ____________________ (day), 20__, by [name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witness 1)</w:t>
      </w:r>
    </w:p>
    <w:p>
      <w:pPr>
        <w:keepNext w:val="0"/>
        <w:spacing w:before="120" w:after="0" w:line="260" w:lineRule="exact"/>
        <w:ind w:left="720" w:right="0" w:firstLine="0"/>
        <w:jc w:val="left"/>
      </w:pPr>
      <w:r>
        <w:rPr>
          <w:rFonts w:ascii="Times New Roman" w:hAnsi="Times New Roman" w:eastAsia="Times New Roman" w:cs="Times New Roman"/>
          <w:b w:val="0"/>
          <w:sz w:val="24"/>
        </w:rPr>
        <w:t>[name of witness 1]</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witness 2)</w:t>
      </w:r>
    </w:p>
    <w:p>
      <w:pPr>
        <w:keepNext w:val="0"/>
        <w:spacing w:before="120" w:after="0" w:line="260" w:lineRule="exact"/>
        <w:ind w:left="720" w:right="0" w:firstLine="0"/>
        <w:jc w:val="left"/>
      </w:pPr>
      <w:r>
        <w:rPr>
          <w:rFonts w:ascii="Times New Roman" w:hAnsi="Times New Roman" w:eastAsia="Times New Roman" w:cs="Times New Roman"/>
          <w:b w:val="0"/>
          <w:sz w:val="24"/>
        </w:rPr>
        <w:t>[name of witness 2]</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South Carolina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 (month) ______ (day) , 20__, by ____________________(principal), _____________________ (witness), and ____________________(witness).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