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City of Washington</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Columbia</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sz w:val="24"/>
        </w:rPr>
        <w:t>NOTICE: THE POWERS GRANTED BY THIS DOCUMENT ARE BROAD AND SWEEPING. THEY ARE EXPLAINED IN THE UNIFORM STATUTORY FORM POWER OF ATTORNEY ACT OF 1998. IF YOU HAVE ANY QUESTIONS ABOUT THESE POWERS, OBTAIN COMPETENT LEGAL ADVICE. THIS DOCUMENT DOES NOT AUTHORIZE ANYONE TO MAKE MEDICAL AND OTHER HEALTHCARE DECISIONS FOR YOU. YOU MAY REVOKE THIS POWER OF ATTORNEY IF YOU LATER WISH TO DO SO.</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District of Columbia's Uniform Statutory 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a coagent in the Special Instructions. Whether coagents are required to act together or may be allowed to act alone should be specified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with an address of [principal's address]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Statutory Form Power of Attorney Act as adopted by the District of Columbia:</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except transactions subject to D.C. Official Code § 42-101</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 and other financial institution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Business operating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beneficiary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Social Security, Medicare, Medicaid, or other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(____) ALL THE POWERS LISTED ABOVE</w:t>
      </w:r>
    </w:p>
    <w:p>
      <w:pPr>
        <w:keepNext w:val="0"/>
        <w:spacing w:before="200" w:after="0" w:line="260" w:lineRule="exact"/>
        <w:ind w:left="1080" w:right="0" w:firstLine="0"/>
        <w:jc w:val="both"/>
      </w:pPr>
      <w:r>
        <w:rPr>
          <w:rFonts w:ascii="Times New Roman" w:hAnsi="Times New Roman" w:eastAsia="Times New Roman" w:cs="Times New Roman"/>
          <w:b w:val="0"/>
          <w:sz w:val="24"/>
        </w:rPr>
        <w:t>YOU NEED NOT INITIAL ANY OTHER LINES IF YOU INITIAL THE LAST LINE GRANTING ALL POWERS LISTED.</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domestic partner,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 Revocation is not effective as to a third party until the third party learns of the revocation. I agree to indemnify the third party for any claims that arise against the third party because of reliance on this power of attorney.</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City of Washington</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Columbia</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