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Parish of [parish]</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Louisiana Civil Code.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donation, either outright or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or existing trust or other custodial arrangement.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(_____) Impose conditions on the donation, including, without limitation, the power to revoke, that are not contrary to the other express terms of the mandate.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Accept or renounce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succession.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Contract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Acknowledge or make remission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surety.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(_____) Draw or endorse promissory notes and negotiable instruments.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or refer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to arbitration.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Prevent or limit reasonable communication, visitation, or interaction between the principal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 by blood, adoption, or affinity within the third degree, or another individual who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relationship based on or productive of strong affection. La. Civ. Code Ann. art. 2997.</w:t>
      </w:r>
    </w:p>
    <w:p>
      <w:pPr>
        <w:keepNext w:val="0"/>
        <w:spacing w:before="200" w:after="0" w:line="260" w:lineRule="exact"/>
        <w:ind w:left="1080" w:right="0" w:firstLine="0"/>
        <w:jc w:val="both"/>
      </w:pPr>
      <w:r>
        <w:rPr>
          <w:rFonts w:ascii="Times New Roman" w:hAnsi="Times New Roman" w:eastAsia="Times New Roman" w:cs="Times New Roman"/>
          <w:b w:val="0"/>
          <w:sz w:val="24"/>
        </w:rPr>
        <w:t>(_____) Alienate, donate, acquire, encumber, or lease the following things: [items authorized to be transferred]. La. Civ. Code Ann. art. 2996.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to himself, my Agent named herein, subject to the following conditions.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Parish of [parish]</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