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South Carolina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South Carolina's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 Health Care Power of Attorney and/or a Declaration of a Desire for a Natural Death, both of which are Advanced Directives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file the revocation with the Register of Deeds office in the county where the revoked power of attorney is filed and in the county of domicile, if different.</w:t>
      </w:r>
    </w:p>
    <w:p>
      <w:pPr>
        <w:keepNext w:val="0"/>
        <w:spacing w:before="200" w:after="0" w:line="260" w:lineRule="exact"/>
        <w:ind w:left="1080" w:right="0" w:firstLine="0"/>
        <w:jc w:val="both"/>
      </w:pPr>
      <w:r>
        <w:rPr>
          <w:rFonts w:ascii="Times New Roman" w:hAnsi="Times New Roman" w:eastAsia="Times New Roman" w:cs="Times New Roman"/>
          <w:b w:val="0"/>
          <w:sz w:val="24"/>
        </w:rPr>
        <w:t>Unless you state otherwise, your agent is entitled to reasonable compensation. Additionally, your agent is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Unless the power of attorney provides otherwise, coagents may act independently of each other.</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South Carolina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 </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amend, revoke, or terminate an inter vivos trust, pursuant to S.C. Code Ann. § 62-7-602A.</w:t>
      </w:r>
    </w:p>
    <w:p>
      <w:pPr>
        <w:keepNext w:val="0"/>
        <w:spacing w:before="200" w:after="0" w:line="260" w:lineRule="exact"/>
        <w:ind w:left="1080" w:right="0" w:firstLine="0"/>
        <w:jc w:val="both"/>
      </w:pPr>
      <w:r>
        <w:rPr>
          <w:rFonts w:ascii="Times New Roman" w:hAnsi="Times New Roman" w:eastAsia="Times New Roman" w:cs="Times New Roman"/>
          <w:b w:val="0"/>
          <w:sz w:val="24"/>
        </w:rPr>
        <w:t>(____)  Make a gift, subject to the limitations of the South Carolina Uniform Power of Attorney Act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 (month) ____________________ (day), 20__,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South Carolina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 (month) ______ (day) , 20__, by ____________________(principal), _____________________ (witness), and ____________________(witness).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