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South Dakota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SDCL chapter 59-12.</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 Health Care Proxy.</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are required to have a majority to act unless you include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SDCL chapter 59-12:</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SDCL § 59-12-39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document was signed in my presence on ____________________ (month) _____ (day) , 20__, by ____________________ (principal), ____________________ (witness), and ____________________ (witness). </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[date]</w:t>
      </w:r>
    </w:p>
    <w:p>
      <w:pPr>
        <w:keepNext w:val="0"/>
        <w:spacing w:before="200" w:after="0" w:line="260" w:lineRule="exact"/>
        <w:ind w:left="720" w:right="0" w:firstLine="0"/>
        <w:jc w:val="both"/>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