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200" w:after="0" w:line="260" w:lineRule="exact"/>
        <w:ind w:left="720" w:right="0" w:firstLine="0"/>
        <w:jc w:val="both"/>
      </w:pPr>
      <w:r>
        <w:rPr>
          <w:rFonts w:ascii="Times New Roman" w:hAnsi="Times New Roman" w:eastAsia="Times New Roman" w:cs="Times New Roman"/>
          <w:b w:val="0"/>
          <w:sz w:val="24"/>
        </w:rPr>
        <w:t>Prepared by: [attorney name]</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Virginia's Uniform Power of Attorney Act, Va. Code Ann. § 64.2-1600 et seq.</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an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compensation that is reasonable under the circumstances unless you state otherwise in the Special Instructions section. Your agent shall also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Durable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THIS POWER OF ATTORNEY AUTHORIZES THE PERSON NAMED BELOW AS MY ATTORNEY-IN-FACT TO DO ONE OR MORE OF THE FOLLOWING: TO SELL, LEASE, GRANT, ENCUMBER, RELEASE, OR OTHERWISE CONVEY ANY INTEREST IN MY REAL PROPERTY AND TO EXECUTE DEEDS AND ALL OTHER INSTRUMENTS ON MY BEHALF, UNLESS THIS POWER OF ATTORNEY IS OTHERWISE LIMITED HEREIN TO SPECIFIC REAL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designate the following person(s) to be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home phone number and/or cell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home phone number and/or cell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home phone number and/or cell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subject(s) as defined in Va. Code Ann. §§ 64.2-1625 through 64.2-1638:</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The Agent's power over real property is over any real property owned individually, jointly, or in an entity. All such real property is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[real property owned by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amend, revoke, or terminate an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(_____) Make a gift, subject to the limitations of Virginia's power of attorney statute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Delegate authority granted under the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(_____) Access the content of electronic communications under the Uniform Fiduciary Access to Digital Assets Act at Va. Code Ann. § 64.2-116 et seq.</w:t>
      </w:r>
    </w:p>
    <w:p>
      <w:pPr>
        <w:keepNext w:val="0"/>
        <w:spacing w:before="200" w:after="0" w:line="260" w:lineRule="exact"/>
        <w:ind w:left="1080" w:right="0" w:firstLine="0"/>
        <w:jc w:val="both"/>
      </w:pPr>
      <w:r>
        <w:rPr>
          <w:rFonts w:ascii="Times New Roman" w:hAnsi="Times New Roman" w:eastAsia="Times New Roman" w:cs="Times New Roman"/>
          <w:b w:val="0"/>
          <w:sz w:val="24"/>
        </w:rPr>
        <w:t>(_____) Have authority over the content of an electronic communication of the principal as provided by Va. Code Ann. § 64.2-123</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(_____) Disclaim or refuse an interest in property, including a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 by _____________________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 by _____________________ (principal), _____________________ (witness), and _____________________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