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Power of Attorney and Declaration of Representative (MA Official Form)</w:t>
      </w:r>
    </w:p>
    <w:p>
      <w:pPr>
        <w:keepNext w:val="0"/>
        <w:spacing w:after="0" w:line="240" w:lineRule="exact"/>
        <w:ind w:right="0"/>
        <w:jc w:val="both"/>
      </w:pPr>
    </w:p>
    <w:p>
      <w:pPr>
        <w:keepNext w:val="0"/>
        <w:spacing w:before="200" w:after="0" w:line="260" w:lineRule="exact"/>
        <w:ind w:left="0" w:right="0" w:firstLine="0"/>
        <w:jc w:val="both"/>
      </w:pPr>
      <w:r>
        <w:rPr>
          <w:rFonts w:ascii="Times New Roman" w:hAnsi="Times New Roman" w:eastAsia="Times New Roman" w:cs="Times New Roman"/>
          <w:b w:val="0"/>
          <w:sz w:val="24"/>
        </w:rPr>
        <w:t xml:space="preserve">Massachusetts Form M-2848 (Power of Attorney and Declaration of Representative) should be filed with the Massachusetts Department of Revenue in order to authorize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decedent’s personal representative to receive information about Massachusetts tax matters pertaining to the decedent and to act on behalf of the decedent in any tax matters specified in the form. The form and its instructions can be accessed and downloaded from the Department’s “Administrative Forms” webpage on the mass.gov website via this link: http://www.mass.gov/dor/forms/miscellaneous/additional-forms/.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