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Praecipe for Rule to File Mechanic’s Lien Claim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PRAECIPE FOR RULE TO FILE MECHANIC’S LIEN CLAIM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Prothonotary: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49 Pa. Stat. Ann. § 1506(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please enter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rule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mechanic’s lien against the property of [name of owner or contractor] at [insert address of subject property where work was performed] within 30 days after notice or be forever barred from so doing.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[filing 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 for owner or contractor]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AFFIDAVIT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individual who served the rule to file mechanic’s lien] being duly sworn according to law deposes and says that, on [date of service], I served the attached Rule to File Mechanic’s Lien Claim on [name of subcontractor or agent of subcontractor], by [method of service] at [address of service].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