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Pre-Dissolution Plan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OF LIQUIDATION AND DISSOLUTION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Plan of Liquidation and Dissolution (this “</w:t>
      </w:r>
      <w:r>
        <w:rPr>
          <w:rFonts w:ascii="Times New Roman" w:hAnsi="Times New Roman" w:eastAsia="Times New Roman" w:cs="Times New Roman"/>
          <w:b/>
          <w:sz w:val="24"/>
        </w:rPr>
        <w:t>Plan</w:t>
      </w:r>
      <w:r>
        <w:rPr>
          <w:rFonts w:ascii="Times New Roman" w:hAnsi="Times New Roman" w:eastAsia="Times New Roman" w:cs="Times New Roman"/>
          <w:b w:val="0"/>
          <w:sz w:val="24"/>
        </w:rPr>
        <w:t xml:space="preserve">”) is intended to effect the dissolution and liquidation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business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in accordance with Section 1975 and other applicable provisions of Pennsylvania’s Business Corporation Law (the “</w:t>
      </w:r>
      <w:r>
        <w:rPr>
          <w:rFonts w:ascii="Times New Roman" w:hAnsi="Times New Roman" w:eastAsia="Times New Roman" w:cs="Times New Roman"/>
          <w:b/>
          <w:sz w:val="24"/>
        </w:rPr>
        <w:t>BCL</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Adoption of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Corporation’s Board of Directors has adopted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recommending (i) dissolution of the Corporation pursuant to Section 1975 of the BCL and (ii) adoption of this Plan, and has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Corporation’s shareholders entitled to vote thereon to approve and adopt such dissolution and this Plan. This Plan will become effective upon its adoption by the requisite vote of the Corporation’s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Publication and Notice; Winding Up; Articles of Dissolution.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as promptly as practicable, cause notice of the winding up proceedings to be officially published and to be mailed by certified or registered mail to each known creditor and claimant of the Corporation and to each municipal corporation in which the Corporation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in the Commonwealth of Pennsylvania.</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as speedily as possible, (i) proceed to collect all sums due it, (ii) convert into cash all corporate assets the conversion of which into cash is required to discharge the Corporation’s liabilities and, (iii) out of the Corporation’s assets, discharge or make adequate provision for the discharge of all of the Corporation’s liabilities, according to their respective priorities. Any surplus that remains after paying or providing for all of the Corporation’s liabilities will be distributed to the shareholders according to their respective rights and preferences.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Articles of Dissolution shall be filed with the Pennsylvania Corporations Bureau, Department of State in accordance with Section 1977 of the BCL, together with clearance certificates from the Pennsylvania Department of Revenue and the Bureau of Employment Security of the Department of Labor and Industry, when all liabilities of the Corporation have been discharged, or adequate provision has been made therefor, and all of the remaining assets of the Corporation have been distributed (or, if the Corporation’s assets are not sufficient to discharge its liabilities, when all of the assets have been fairly and equitably applied, as far as they will go, to the payment of such liabilities).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Business.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Upon filing of the Articles of Dissolution, the existence of the Corporation shall cease and the Corporation shall not engage in any business activities, except in accordance with this Plan or as otherwise permitted by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 of Dissolution.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connection with and in order to effect the dissolution of the Corporation, the Corporation may (i) engage or retain such employees, consultants, and advisors as the Board of Directors deems necessary or desirable to supervise or facilitate the dissolution, and (ii) pay any brokerage, agency, professional, and other [reasonable and documented] fees and expenses of persons rendering services to the Corporation in connection with the collection, sale, exchange or other disposition of the Corporation’s property and assets and the implementation of this Plan.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connection with and for the purposes of implementing and assuring completion of this Plan, the Corporation may, in the absolute discretion of the Board of Directors, pay the Corporation’s officers, directors, employees, agents and representatives, or any of them, compensation or additional compensation above their regular compensation, including pursuant to severance and retention agreements, in money or other property, in recognition of the extraordinary efforts they, or any of them, will be required to undertake, or actually undertake, in connection with the implementation of this Plan. Adoption of this Plan by the requisite vote of the outstanding capital stock of the Corporation will constitute the approval of the Corporation’s shareholders of the payment of any such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Corporation shall continue to indemnify its officers, directors, employees, [and] agents[, and trustees], in accordance with its Articles of Incorporation, Bylaws, applicable contractual arrangements, existing insurance policies, and applicable law. Such indemnification will apply to acts or omissions of such persons in connection with the implementation of this Plan and the winding up of the business and affairs of the Corporation. The Board of Directors is authorized to obtain and maintain such insurance as may be necessary to cover the Corporation’s indemnification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or Abandonment of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the authorization of or consent to this Plan and the transactions contemplated hereby, the Board of Directors may modify, amend, or abandon this Plan and the transactions contemplated hereby without further action by the shareholders to the extent permitted by the BCL.</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Board of Directors is hereby authorized, without further action by the shareholders, to do and perform, or, subject to the approval of the Board of Directors, to cause the officers of the Corporation to do and perform, any and all acts, and to make, execute, deliver or adopt any and all agreements, resolutions, conveyances, certificates, and other documents of every kind which are deemed necessary, appropriate, or desirable, in the absolute discretion of the Board of Directors, to implement this Plan and the actions contemplated hereby, including, without limiting the foregoing, all filings or acts required by any state or federal law or regulation in order to wind up the Corporation’s affairs.</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Consent to Sale of Assets.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Adoption of this Plan by the requisite vote of the shareholders will constitute the approval of the shareholders of the sale, exchange or other disposition in liquidation of all of the remaining property and assets of the Company, whether such sale, exchange, or other disposition occurs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and will constitute ratification of all contracts for sale, exchange, or other disposition that are conditioned on the adoption of this Plan.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