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child's birth, adoption, or placement for foster care, or certain school conferences and activities.</w:t>
      </w:r>
    </w:p>
    <w:p>
      <w:pPr>
        <w:keepNext w:val="0"/>
        <w:spacing w:before="120" w:after="0" w:line="260" w:lineRule="exact"/>
        <w:ind w:left="360" w:right="0" w:firstLine="0"/>
        <w:jc w:val="left"/>
      </w:pP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depending on the particular circumstances at the time the employee requests leave in accordance with applicable law and Company policy. The Company will consider all types of leave to which the employee might be entitled, including but not limited to: family and medical leave,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related to pregnancy or childbirth, and leave under the Company's sick leave policy.</w:t>
      </w:r>
    </w:p>
    <w:p>
      <w:pPr>
        <w:keepNext w:val="0"/>
        <w:spacing w:before="120" w:after="0" w:line="260" w:lineRule="exact"/>
        <w:ind w:left="360" w:right="0" w:firstLine="0"/>
        <w:jc w:val="left"/>
      </w:pPr>
      <w:r>
        <w:rPr>
          <w:rFonts w:ascii="Times New Roman" w:hAnsi="Times New Roman" w:eastAsia="Times New Roman" w:cs="Times New Roman"/>
          <w:b/>
          <w:sz w:val="24"/>
        </w:rPr>
        <w:t>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qualify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School conferences or classroom activities for the employee's child(ren) that cannot be scheduled outside of work hours.</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in accordance with applicable law and Company policy. For specific information about their entitlement to leave, employees may contact [department and/or individual(s)] or consult our policies regarding family and medical leave, disability accommodation, equal employment opportunity, and sick leave.</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applicable law or Company policy requires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substitute accrued paid sick or vacation leave for unpaid pregnancy and childbirth leave or accrued paid vacation leave for parenting leave. With respect to school visitation leave, employees who do not substitute vacation leave may be required to make up the time.</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Generally,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school visitation leave, employees must provide [department and/or individual(s)] with advance notice of the leave and make reasonable efforts to schedule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does not unduly disrupt the employee's operations.</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her medical provider must certify information regarding the employee's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pregnancy and parental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policy, but will not be required to use both paid sick leave and paid vacation leave for the same day of leave. School visitation leave will not run concurrently with other types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