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w:t>
      </w:r>
    </w:p>
    <w:p>
      <w:pPr>
        <w:keepNext w:val="0"/>
        <w:spacing w:before="120" w:after="0" w:line="260" w:lineRule="exact"/>
        <w:ind w:left="360" w:right="0" w:firstLine="0"/>
        <w:jc w:val="left"/>
      </w:pPr>
      <w:r>
        <w:rPr>
          <w:rFonts w:ascii="Times New Roman" w:hAnsi="Times New Roman" w:eastAsia="Times New Roman" w:cs="Times New Roman"/>
          <w:b/>
          <w:sz w:val="24"/>
        </w:rPr>
        <w:t>Eligibility and 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will depend upon the particular circumstances at the time the employee requests leave and will be determined in accordance with applicable law and Company policy. The Company will consider all types of leave to which the employee might be entitled, including but not limited to: leave under the Family and Medical Leave Act (FMLA);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under the Americans with Disabilities Act (ADA); and leave under the Company's sick leave policy.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eligible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leave provided pursuant to this policy will not be paid unless otherwise required by applicable law or Company policy.</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will be determined in accordance with applicable law and Company policy. Additional information on leave under the Family and Medical Leave Act and the Americans with Disabilities Act may be obtained in the related company policies or by contacting Human Resources.</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reasonably determine whether any of our leave policies apply to the employee's leave request. The type of certification or supporting documentation required by the company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will be required to have her medical provider certify information regarding the employee's ability or inability to work. As another example,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may be asked for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Act policy, but will not be required to use both paid sick leave and paid vacation leave for the same day of leave.</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sz w:val="24"/>
        </w:rPr>
        <w:t xml:space="preserve">Alternate Optional Paragraph </w:t>
      </w:r>
      <w:r>
        <w:rPr>
          <w:rFonts w:ascii="Times New Roman" w:hAnsi="Times New Roman" w:eastAsia="Times New Roman" w:cs="Times New Roman"/>
          <w:b/>
          <w:sz w:val="24"/>
        </w:rPr>
        <w:t>9.</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who are on leave pursuant to this policy will continue to accrue benefits such as sick time and seniority during their leave if required by law or as long as they return to work and remain in the Company's employ for at least three months after the end of the leave period.</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