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Press Release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[ISSUER] Announces [$[___]] [Stock/Accelerated Stock] Purchase Program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[CITY], [STATE] – [DATE] – [ISSUER] (the “Company”) ([NYSE/NASDAQ]: [TICKER SYMBOL]) announced today that the Company’s Board of Directors has approved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repurchase program of up to [[NUMBER OF SHARES/$[DOLLAR AMOUNT]] of the Company’s [common stock, par value $[DOLLAR AMOUNT] per share/[other securities]].</w:t>
      </w:r>
    </w:p>
    <w:p>
      <w:pPr>
        <w:keepNext w:val="0"/>
        <w:spacing w:before="200" w:after="0" w:line="260" w:lineRule="exact"/>
        <w:ind w:left="360" w:right="0" w:firstLine="0"/>
        <w:jc w:val="both"/>
      </w:pPr>
      <w:r>
        <w:rPr>
          <w:rFonts w:ascii="Times New Roman" w:hAnsi="Times New Roman" w:eastAsia="Times New Roman" w:cs="Times New Roman"/>
          <w:b w:val="0"/>
          <w:sz w:val="24"/>
        </w:rPr>
        <w:t>[QUOTE FROM MANAGEMENT REGARDING REPURCHASE PROGRAM]</w:t>
      </w:r>
    </w:p>
    <w:p>
      <w:pPr>
        <w:keepNext w:val="0"/>
        <w:spacing w:before="200" w:after="0" w:line="260" w:lineRule="exact"/>
        <w:ind w:left="360" w:right="0" w:firstLine="0"/>
        <w:jc w:val="both"/>
      </w:pPr>
      <w:r>
        <w:rPr>
          <w:rFonts w:ascii="Times New Roman" w:hAnsi="Times New Roman" w:eastAsia="Times New Roman" w:cs="Times New Roman"/>
          <w:b w:val="0"/>
          <w:sz w:val="24"/>
        </w:rPr>
        <w:t>[The stock repurchase program will [replace the Company’s current stock repurchase program, which was approved by the Board of Directors on [DATE] and commenced on [DATE]/commence on the termination, effective on [DATE], of the Company’s current stock repurchase program].</w:t>
      </w:r>
    </w:p>
    <w:p>
      <w:pPr>
        <w:keepNext w:val="0"/>
        <w:spacing w:before="200" w:after="0" w:line="260" w:lineRule="exact"/>
        <w:ind w:left="360" w:right="0" w:firstLine="0"/>
        <w:jc w:val="both"/>
      </w:pPr>
      <w:r>
        <w:rPr>
          <w:rFonts w:ascii="Times New Roman" w:hAnsi="Times New Roman" w:eastAsia="Times New Roman" w:cs="Times New Roman"/>
          <w:b w:val="0"/>
          <w:sz w:val="24"/>
        </w:rPr>
        <w:t>As of [DATE], [NUMBER] shares of the Company’s [common stock/other securities] are issued and outstanding.] [As of [DATE], the Company repurchased [NUMBER] shares of its [common stock/other securities] pursuant to the Company’s [DATE] stock repurchase program.</w:t>
      </w:r>
    </w:p>
    <w:p>
      <w:pPr>
        <w:keepNext w:val="0"/>
        <w:spacing w:before="200" w:after="0" w:line="260" w:lineRule="exact"/>
        <w:ind w:left="360" w:right="0" w:firstLine="0"/>
        <w:jc w:val="both"/>
      </w:pPr>
      <w:r>
        <w:rPr>
          <w:rFonts w:ascii="Times New Roman" w:hAnsi="Times New Roman" w:eastAsia="Times New Roman" w:cs="Times New Roman"/>
          <w:b w:val="0"/>
          <w:sz w:val="24"/>
        </w:rPr>
        <w:t>[Repurchases of shares of the [common stock/other securities] will be made [on the open market at prevailing market prices] [and] [in privately negotiated transactions] [and [otherwise] as may be determined by the Company’s management][, including pursuant to one or more Rule 10b5-1 trading plans adopted in accordance with Rule 10b5-1 under the Securities Exchange Act of 1934, as amended]. Any such repurchases will be made on such terms, at such times, and in such amounts as determined by the Company’s management, based on such factors as market conditions and subject to compliance with applicable law. [Any repurchases made on the open market will comply with timing conditions imposed by Rule 10b-18.]]</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is not under any obligation to repurchase any number of shares of [common stock/other securities] pursuant to the stock repurchase program. The Company reserves the right, in its sole discretion, at any time and from time to time, to amend the terms and conditions of the stock repurchase program, or to suspend or terminate the stock repurchase program.]</w:t>
      </w:r>
    </w:p>
    <w:p>
      <w:pPr>
        <w:keepNext w:val="0"/>
        <w:spacing w:before="200" w:after="0" w:line="260" w:lineRule="exact"/>
        <w:ind w:left="360" w:right="0" w:firstLine="0"/>
        <w:jc w:val="both"/>
      </w:pPr>
      <w:r>
        <w:rPr>
          <w:rFonts w:ascii="Times New Roman" w:hAnsi="Times New Roman" w:eastAsia="Times New Roman" w:cs="Times New Roman"/>
          <w:b/>
          <w:sz w:val="24"/>
        </w:rPr>
        <w:t>About [Company]</w:t>
      </w:r>
    </w:p>
    <w:p>
      <w:pPr>
        <w:keepNext w:val="0"/>
        <w:spacing w:before="200" w:after="0" w:line="260" w:lineRule="exact"/>
        <w:ind w:left="360" w:right="0" w:firstLine="0"/>
        <w:jc w:val="both"/>
      </w:pPr>
      <w:r>
        <w:rPr>
          <w:rFonts w:ascii="Times New Roman" w:hAnsi="Times New Roman" w:eastAsia="Times New Roman" w:cs="Times New Roman"/>
          <w:b w:val="0"/>
          <w:sz w:val="24"/>
        </w:rPr>
        <w:t>[BRIEF DESCRIPTION OF THE ISSUER].</w:t>
      </w:r>
    </w:p>
    <w:p>
      <w:pPr>
        <w:keepNext w:val="0"/>
        <w:spacing w:before="120" w:after="0" w:line="260" w:lineRule="exact"/>
        <w:ind w:left="360" w:right="0" w:firstLine="0"/>
        <w:jc w:val="left"/>
      </w:pPr>
      <w:r>
        <w:rPr>
          <w:rFonts w:ascii="Times New Roman" w:hAnsi="Times New Roman" w:eastAsia="Times New Roman" w:cs="Times New Roman"/>
          <w:b/>
          <w:sz w:val="24"/>
        </w:rPr>
        <w:t>Forward-Looking Statements</w:t>
      </w:r>
    </w:p>
    <w:p>
      <w:pPr>
        <w:keepNext w:val="0"/>
        <w:spacing w:before="200" w:after="0" w:line="260" w:lineRule="exact"/>
        <w:ind w:left="720" w:right="0" w:firstLine="0"/>
        <w:jc w:val="both"/>
      </w:pPr>
      <w:r>
        <w:rPr>
          <w:rFonts w:ascii="Times New Roman" w:hAnsi="Times New Roman" w:eastAsia="Times New Roman" w:cs="Times New Roman"/>
          <w:b w:val="0"/>
          <w:sz w:val="24"/>
        </w:rPr>
        <w:t>This press release contains forward-looking statements regarding our future business expectations, including [SPECIFIC EXAMPLES OF FORWARD-LOOKING STATEMENTS]. These forward-looking statements are subject to the safe harbor provisions of the Private Securities Litigation Reform Act of 1995. Words such as “anticipate,” “believe,” continue,” “could,” “estimate,” “expect,” “intend,” “may,” “plan,” “predict,” “project,” “should,” “will,” and similar expressions are intended to identify such forward-looking statements.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These forward-looking statements are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risks, uncertainties, and assumptions, such as [ISSUER AND INDUSTRY-SPECIFIC FACTORS]. Our actual results, performance, or achievements could differ materially from the results expressed in, or implied by, these forward-looking statements. [These and other potential risks and uncertainties that could cause actual results to differ from the results predicted are discussed in the section entitled “Risk Factors” included in our Annual Report on Form 10-K for the fiscal year ended [DATE],] which we filed with the SEC on [DATE],] and which is available on our Investor Relations website [LINK] and the SEC’s website at www.sec.gov.] You are cautioned not to place undue reliance on these forward-looking statements, which speak only as of the date they are made. We undertake no obligation to update or revise the forward-looking statements included in this release,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new information, future events, changes in assumptions or otherwise.</w:t>
      </w:r>
    </w:p>
    <w:p>
      <w:pPr>
        <w:keepNext w:val="0"/>
        <w:spacing w:before="200" w:after="0" w:line="260" w:lineRule="exact"/>
        <w:ind w:left="360" w:right="0" w:firstLine="0"/>
        <w:jc w:val="both"/>
      </w:pPr>
      <w:r>
        <w:rPr>
          <w:rFonts w:ascii="Times New Roman" w:hAnsi="Times New Roman" w:eastAsia="Times New Roman" w:cs="Times New Roman"/>
          <w:b/>
          <w:sz w:val="24"/>
        </w:rPr>
        <w:t>Contact[s]:</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both"/>
      </w:pPr>
      <w:r>
        <w:rPr>
          <w:rFonts w:ascii="Times New Roman" w:hAnsi="Times New Roman" w:eastAsia="Times New Roman" w:cs="Times New Roman"/>
          <w:b w:val="0"/>
          <w:sz w:val="24"/>
        </w:rPr>
        <w:t>[TITLE]</w:t>
      </w:r>
    </w:p>
    <w:p>
      <w:pPr>
        <w:keepNext w:val="0"/>
        <w:spacing w:before="200" w:after="0" w:line="260" w:lineRule="exact"/>
        <w:ind w:left="360" w:right="0" w:firstLine="0"/>
        <w:jc w:val="both"/>
      </w:pPr>
      <w:r>
        <w:rPr>
          <w:rFonts w:ascii="Times New Roman" w:hAnsi="Times New Roman" w:eastAsia="Times New Roman" w:cs="Times New Roman"/>
          <w:b w:val="0"/>
          <w:sz w:val="24"/>
        </w:rPr>
        <w:t>[ISSUER]</w:t>
      </w:r>
    </w:p>
    <w:p>
      <w:pPr>
        <w:keepNext w:val="0"/>
        <w:spacing w:before="200" w:after="0" w:line="260" w:lineRule="exact"/>
        <w:ind w:left="360" w:right="0" w:firstLine="0"/>
        <w:jc w:val="both"/>
      </w:pPr>
      <w:r>
        <w:rPr>
          <w:rFonts w:ascii="Times New Roman" w:hAnsi="Times New Roman" w:eastAsia="Times New Roman" w:cs="Times New Roman"/>
          <w:b w:val="0"/>
          <w:sz w:val="24"/>
        </w:rPr>
        <w:t>[PHONE]</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