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Press Release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[ISSUER] Announces Offering of [NUMBER OF SHARES] Shares of [Common Stock]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[CITY], [STATE] – [DATE] – [ISSUER] (the “Company”) ([NYSE/NASDAQ]: [TICKER SYMBOL]) announced today that it has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sell [NUMBER OF SHARES] shares of [common stock] (the “Shares”)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underwritten public offering.</w:t>
      </w:r>
    </w:p>
    <w:p>
      <w:pPr>
        <w:keepNext w:val="0"/>
        <w:spacing w:before="200" w:after="0" w:line="260" w:lineRule="exact"/>
        <w:ind w:left="360" w:right="0" w:firstLine="0"/>
        <w:jc w:val="both"/>
      </w:pPr>
      <w:r>
        <w:rPr>
          <w:rFonts w:ascii="Times New Roman" w:hAnsi="Times New Roman" w:eastAsia="Times New Roman" w:cs="Times New Roman"/>
          <w:b w:val="0"/>
          <w:sz w:val="24"/>
        </w:rPr>
        <w:t>[SOLE UNDERWRITER’S NAME] is serving as sole underwriter / [LEAD UNDERWRITERS’ NAMES] are serving as [Joint Book-Running Managers / (OTHER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offering is being made only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prospectus supplement and accompanying base prospectus.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prospectus supplement and accompanying base prospectus may be obtained from [NAME AND ADDRESS OF CONTACT FOR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PROSPECTUS].</w:t>
      </w:r>
    </w:p>
    <w:p>
      <w:pPr>
        <w:keepNext w:val="0"/>
        <w:spacing w:before="200" w:after="0" w:line="260" w:lineRule="exact"/>
        <w:ind w:left="36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shelf registration statement relating to the Shares has been previously filed with the SEC. The registration statement on Form S-3 may be accessed through the SEC's website at: https://www.sec.gov.</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press release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or the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nor shall there be any sale of the Shares in any state in which such offer, solicitation or sale would be unlawful prior to registration or qualification under the securities laws of any such state.</w:t>
      </w:r>
    </w:p>
    <w:p>
      <w:pPr>
        <w:keepNext w:val="0"/>
        <w:spacing w:before="200" w:after="0" w:line="260" w:lineRule="exact"/>
        <w:ind w:left="360" w:right="0" w:firstLine="0"/>
        <w:jc w:val="both"/>
      </w:pPr>
      <w:r>
        <w:rPr>
          <w:rFonts w:ascii="Times New Roman" w:hAnsi="Times New Roman" w:eastAsia="Times New Roman" w:cs="Times New Roman"/>
          <w:b/>
          <w:sz w:val="24"/>
        </w:rPr>
        <w:t>About [ISSUER]</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[BRIEF DESCRIPTION OF THE ISSUER]</w:t>
      </w:r>
    </w:p>
    <w:p>
      <w:pPr>
        <w:keepNext w:val="0"/>
        <w:spacing w:before="120" w:after="0" w:line="260" w:lineRule="exact"/>
        <w:ind w:left="360" w:right="0" w:firstLine="0"/>
        <w:jc w:val="left"/>
      </w:pPr>
      <w:r>
        <w:rPr>
          <w:rFonts w:ascii="Times New Roman" w:hAnsi="Times New Roman" w:eastAsia="Times New Roman" w:cs="Times New Roman"/>
          <w:b/>
          <w:sz w:val="24"/>
        </w:rPr>
        <w:t>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This press release contains forward-looking statements regarding our future business expectations, including [SPECIFIC EXAMPLES OF FORWARD-LOOKING STATEMENTS]. These forward-looking statements are subject to the safe harbor provisions of the Private Securities Litigation Reform Act of 1995. Words such as “anticipate,” “believe,” “continue,” “could,” “estimate,” “expect,” “intend,” “may,” “plan,” “predict,” “project,” “should,” “will,” and similar expressions are intended to identify such 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forward-looking statements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risks, uncertainties, and assumptions, such as [ISSUER AND INDUSTRY-SPECIFIC FACTORS]. Our actual results, performance, or achievements could differ materially from the results expressed in, or implied by, these forward-looking statements. [These and other potential risks and uncertainties that could cause actual results to differ from the results predicted are discussed in the section entitled “Risk Factors” included in our Annual Report on Form 10-K for the fiscal year ended [DATE], which we filed with the SEC on [DATE],] and which is available on our Investor Relations website at [WEBSITE LINK] and the SEC’s website at https://www.sec.gov.] You are cautioned not to place undue reliance on these forward-looking statements, which speak only as of the date they are made. We undertake no obligation to update or revise the forward-looking statements included in this release,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new information, future events, changes in assumptions or otherwise.</w:t>
      </w:r>
    </w:p>
    <w:p>
      <w:pPr>
        <w:keepNext w:val="0"/>
        <w:spacing w:before="200" w:after="0" w:line="260" w:lineRule="exact"/>
        <w:ind w:left="360" w:right="0" w:firstLine="0"/>
        <w:jc w:val="both"/>
      </w:pPr>
      <w:r>
        <w:rPr>
          <w:rFonts w:ascii="Times New Roman" w:hAnsi="Times New Roman" w:eastAsia="Times New Roman" w:cs="Times New Roman"/>
          <w:b/>
          <w:sz w:val="24"/>
        </w:rPr>
        <w:t>Contact[s]: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[ISSUER]</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