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Press Release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[ISSUER'S LOGO]</w:t>
      </w:r>
    </w:p>
    <w:p>
      <w:pPr>
        <w:keepNext w:val="0"/>
        <w:spacing w:before="200" w:after="0" w:line="260" w:lineRule="exact"/>
        <w:ind w:left="720" w:right="0" w:firstLine="0"/>
        <w:jc w:val="both"/>
      </w:pPr>
      <w:r>
        <w:rPr>
          <w:rFonts w:ascii="Times New Roman" w:hAnsi="Times New Roman" w:eastAsia="Times New Roman" w:cs="Times New Roman"/>
          <w:b/>
          <w:sz w:val="24"/>
        </w:rPr>
        <w:t>PRESS RELEASE</w:t>
      </w:r>
    </w:p>
    <w:p>
      <w:pPr>
        <w:keepNext w:val="0"/>
        <w:spacing w:before="200" w:after="0" w:line="260" w:lineRule="exact"/>
        <w:ind w:left="720" w:right="0" w:firstLine="0"/>
        <w:jc w:val="center"/>
      </w:pPr>
      <w:r>
        <w:rPr>
          <w:rFonts w:ascii="Times New Roman" w:hAnsi="Times New Roman" w:eastAsia="Times New Roman" w:cs="Times New Roman"/>
          <w:b/>
          <w:sz w:val="24"/>
        </w:rPr>
        <w:t>[ISSUER] ANNOUNCES COMMENCEMENT OF PRIVATE EXCHANGE OFFER AND CONSENT SOLICITATION</w:t>
      </w:r>
    </w:p>
    <w:p>
      <w:pPr>
        <w:keepNext w:val="0"/>
        <w:spacing w:before="200" w:after="0" w:line="260" w:lineRule="exact"/>
        <w:ind w:left="720" w:right="0" w:firstLine="0"/>
        <w:jc w:val="both"/>
      </w:pPr>
      <w:r>
        <w:rPr>
          <w:rFonts w:ascii="Times New Roman" w:hAnsi="Times New Roman" w:eastAsia="Times New Roman" w:cs="Times New Roman"/>
          <w:b/>
          <w:sz w:val="24"/>
        </w:rPr>
        <w:t>[CITY], [STATE] – [DATE] – [ISSUER] (the "Company") ([NYSE/NASDAQ]: [TICKER SYMBOL])</w:t>
      </w:r>
      <w:r>
        <w:rPr>
          <w:rFonts w:ascii="Times New Roman" w:hAnsi="Times New Roman" w:eastAsia="Times New Roman" w:cs="Times New Roman"/>
          <w:b w:val="0"/>
          <w:sz w:val="24"/>
        </w:rPr>
        <w:t xml:space="preserve"> announced today that it has commenced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offer to Eligible Holders (as defined below) to exchange (the "Exchange Offer") any and all of its $[AMOUNT OF EXISTING NOTES] outstanding [COUPON]% [Senior/Secured/Guaranteed] Notes due [MATURITY YEAR] (the "Existing Notes") for its newly issued [COUPON]% [Senior/Secured/Guaranteed] Notes due [MATURITY YEAR] (the "New Notes") on the terms and subject to the conditions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 Offering Memorandum, dated [DATE OF OFFERING MEMORANDUM] (as may be amended or supplemented from time to time, the "Offering Memorandum"), and in the related Letter of Transmittal and Consent (as may be amended or supplemented from time to time, and, collectively with the Offering Memorandum, the "Exchange Offer Documents"). In conjunction with the Exchange Offer, and upon the terms and conditions set forth in the Exchange Offer Documents, the Company is also soliciting consents ("Consent Solicitation") from Eligible Holders to certain proposed amendments (the "Proposed Amendments") to the indenture governing the Existing Notes.</w:t>
      </w:r>
    </w:p>
    <w:p>
      <w:pPr>
        <w:keepNext w:val="0"/>
        <w:spacing w:before="200" w:after="0" w:line="260" w:lineRule="exact"/>
        <w:ind w:left="720" w:right="0" w:firstLine="0"/>
        <w:jc w:val="both"/>
      </w:pPr>
      <w:r>
        <w:rPr>
          <w:rFonts w:ascii="Times New Roman" w:hAnsi="Times New Roman" w:eastAsia="Times New Roman" w:cs="Times New Roman"/>
          <w:b w:val="0"/>
          <w:sz w:val="24"/>
        </w:rPr>
        <w:t>The purpose of the Exchange Offer is to [DESCRIBE PURPOSE OF THE EXCHANGE OFFER, E.G. REDUCE CREDIT PAYMENTS / COMPLY WITH FINANCIAL COVENANTS, ETC…].</w:t>
      </w:r>
    </w:p>
    <w:p>
      <w:pPr>
        <w:keepNext w:val="0"/>
        <w:spacing w:before="200" w:after="0" w:line="260" w:lineRule="exact"/>
        <w:ind w:left="720" w:right="0" w:firstLine="0"/>
        <w:jc w:val="both"/>
      </w:pPr>
      <w:r>
        <w:rPr>
          <w:rFonts w:ascii="Times New Roman" w:hAnsi="Times New Roman" w:eastAsia="Times New Roman" w:cs="Times New Roman"/>
          <w:b w:val="0"/>
          <w:sz w:val="24"/>
        </w:rPr>
        <w:t>The Exchange Offer will expire at [EXPIRATION TIME], [EXPIRATION TIME ZONE] time, on [EXPIRATION DATE], unless or earlier terminated (such time and date, as the same may be extended (the "Expiration Time"). [PROVIDE FURTHER INFORMATION RELATING TO THE SPECIFICS OF THE EXCHANGE OFFER.]</w:t>
      </w:r>
    </w:p>
    <w:p>
      <w:pPr>
        <w:keepNext w:val="0"/>
        <w:spacing w:before="200" w:after="0" w:line="260" w:lineRule="exact"/>
        <w:ind w:left="720" w:right="0" w:firstLine="0"/>
        <w:jc w:val="both"/>
      </w:pPr>
      <w:r>
        <w:rPr>
          <w:rFonts w:ascii="Times New Roman" w:hAnsi="Times New Roman" w:eastAsia="Times New Roman" w:cs="Times New Roman"/>
          <w:b w:val="0"/>
          <w:sz w:val="24"/>
        </w:rPr>
        <w:t>If the Consent Solicitation is successful and the Proposed Amendments are effective, certain restrictive covenants contained in the indenture governing the Existing Notes will be amended, including [DESCRIBE EFFECTS OF PROPOSED AMENDMENTS]. Holders who tender their Existing Notes will be deemed to consent to the Proposed Amendments, and holders may not deliver consents to the Proposed Amendments without tendering their Existing Notes in the Exchange Offer. The Consent Solicitation will expire with the Exchange Offer at the Expiration Time.</w:t>
      </w:r>
    </w:p>
    <w:p>
      <w:pPr>
        <w:keepNext w:val="0"/>
        <w:spacing w:before="200" w:after="0" w:line="260" w:lineRule="exact"/>
        <w:ind w:left="720" w:right="0" w:firstLine="0"/>
        <w:jc w:val="both"/>
      </w:pPr>
      <w:r>
        <w:rPr>
          <w:rFonts w:ascii="Times New Roman" w:hAnsi="Times New Roman" w:eastAsia="Times New Roman" w:cs="Times New Roman"/>
          <w:b/>
          <w:sz w:val="24"/>
        </w:rPr>
        <w:t xml:space="preserve">The New Notes will be issued only to holders of Existing Notes that are ["accredited investors" (as defined in Regulation D under the Securities Act of 1933, as amended) / "qualified institutional buyers" (as defined in Rule 144A under the Securities Act of 1933, as amended)] ("Eligible Holders"). Documents relating to the Exchange Offer and Consent Solicitation will only be distributed to Eligible Holders who complete and return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letter of eligibility confirming that they are qualified to participate in the Exchange Offer. Existing Note holders who desire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the eligibility letter should contact [CONTACT AT THE ISSUER OR EXCHANGE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New Notes will be issued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indenture and will not be registered with the Securities and Exchange Commission and thus will be subject to certain transfer restrictions. Any Existing Notes that are not tendered in the Exchange Offer will continue to be subject to the indenture governing the Existing Notes, which, if the Exchange offer is consummated, will be supplemented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supplemental indenture that will take effect upon consummation of the Exchange Offer.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press release is neither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purchase or sell 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solicitation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sell or buy the Existing Notes, the New Notes, or any other securities of the Company. This press release also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solicitation of consents to the Proposed Amendment to the indenture governing the Existing Notes. The Exchange Offer and Consent Solicitation are being made solely on the terms and subject to the conditions set forth in the Exchange Offer Documents and the information in this press release is qualified by reference to such Exchange Offer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New Notes have not been and will not be registered under the Securities Act of 1933, as amended, or applicable state securities laws and may not be offered or sold in the United States or to U.S. persons absent registration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exemption from the registration requirements of the Securities Act and applicable state laws.</w:t>
      </w:r>
    </w:p>
    <w:p>
      <w:pPr>
        <w:keepNext w:val="0"/>
        <w:spacing w:before="120" w:after="0" w:line="260" w:lineRule="exact"/>
        <w:ind w:left="720" w:right="0" w:firstLine="0"/>
        <w:jc w:val="left"/>
      </w:pPr>
      <w:r>
        <w:rPr>
          <w:rFonts w:ascii="Times New Roman" w:hAnsi="Times New Roman" w:eastAsia="Times New Roman" w:cs="Times New Roman"/>
          <w:b/>
          <w:sz w:val="24"/>
        </w:rPr>
        <w:t>Forward-Looking Statements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Statements in this press release that are not historical are forward-looking statements made pursuant to the safe harbor provisions of the Private Securities Litigation Reform Act of 1995. Words such as ["anticipate," "believe," "continue," "could," "estimate," "expect," "intend," "may," "plan," "predict," "project," "should," and "will"] and variations of such words and similar expressions are intended to identify such forward-looking statements. These forward-looking statements are not guarantees of future performance and involve risks, assumptions and uncertainties, including, but not limited to, [LIST RELEVANT FACTORS, APPLICABLE TO THE ISSUER AND THE ISSUER'S INDUSTRY]. These and other risks, assumptions and uncertainties are described in [Item 1A (Risk Factors) of our most recent Annual Report on Form 10-K/the Offering Memorandum] and in other documents that we file or furnish with the Securities and Exchange Commission, which you are encouraged to read. Should one or more of these risks or uncertainties materialize, or should underlying assumptions prove incorrect, actual results may vary materially from those indicated or anticipated by such forward-looking statements. Accordingly, you are cautioned not to place undue reliance on these forward-looking statements, which speak only as of the date they are made. We expressly disclaim any current intention to update publicly any forward-looking statement after the distribution of this release,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new information, future events, changes in assumptions or otherwise.</w:t>
      </w:r>
    </w:p>
    <w:p>
      <w:pPr>
        <w:keepNext w:val="0"/>
        <w:spacing w:before="120" w:after="0" w:line="260" w:lineRule="exact"/>
        <w:ind w:left="720" w:right="0" w:firstLine="0"/>
        <w:jc w:val="left"/>
      </w:pPr>
      <w:r>
        <w:rPr>
          <w:rFonts w:ascii="Times New Roman" w:hAnsi="Times New Roman" w:eastAsia="Times New Roman" w:cs="Times New Roman"/>
          <w:b/>
          <w:sz w:val="24"/>
        </w:rPr>
        <w:t>Contact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[TITLE]</w:t>
      </w:r>
    </w:p>
    <w:p>
      <w:pPr>
        <w:keepNext w:val="0"/>
        <w:spacing w:before="200" w:after="0" w:line="260" w:lineRule="exact"/>
        <w:ind w:left="1080" w:right="0" w:firstLine="0"/>
        <w:jc w:val="both"/>
      </w:pPr>
      <w:r>
        <w:rPr>
          <w:rFonts w:ascii="Times New Roman" w:hAnsi="Times New Roman" w:eastAsia="Times New Roman" w:cs="Times New Roman"/>
          <w:b w:val="0"/>
          <w:sz w:val="24"/>
        </w:rPr>
        <w:t>[ISSUER]</w:t>
      </w:r>
    </w:p>
    <w:p>
      <w:pPr>
        <w:keepNext w:val="0"/>
        <w:spacing w:before="200" w:after="0" w:line="260" w:lineRule="exact"/>
        <w:ind w:left="1080" w:right="0" w:firstLine="0"/>
        <w:jc w:val="both"/>
      </w:pPr>
      <w:r>
        <w:rPr>
          <w:rFonts w:ascii="Times New Roman" w:hAnsi="Times New Roman" w:eastAsia="Times New Roman" w:cs="Times New Roman"/>
          <w:b w:val="0"/>
          <w:sz w:val="24"/>
        </w:rPr>
        <w:t>[PHONE]</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