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Pricing Committee Resolutions: Rule 144A/Regulation S Offering</w:t>
      </w:r>
    </w:p>
    <w:p>
      <w:pPr>
        <w:keepNext w:val="0"/>
        <w:spacing w:after="0" w:line="240" w:lineRule="exact"/>
        <w:ind w:right="0"/>
        <w:jc w:val="both"/>
      </w:pPr>
    </w:p>
    <w:p>
      <w:pPr>
        <w:keepNext w:val="0"/>
        <w:spacing w:before="120" w:after="0" w:line="260" w:lineRule="exact"/>
        <w:ind w:left="360" w:right="0" w:firstLine="24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of Directors (the “</w:t>
      </w:r>
      <w:r>
        <w:rPr>
          <w:rFonts w:ascii="Times New Roman" w:hAnsi="Times New Roman" w:eastAsia="Times New Roman" w:cs="Times New Roman"/>
          <w:b w:val="0"/>
          <w:sz w:val="24"/>
        </w:rPr>
        <w:t>Board</w:t>
      </w:r>
      <w:r>
        <w:rPr>
          <w:rFonts w:ascii="Times New Roman" w:hAnsi="Times New Roman" w:eastAsia="Times New Roman" w:cs="Times New Roman"/>
          <w:b w:val="0"/>
          <w:sz w:val="24"/>
        </w:rPr>
        <w:t>”) of [COMPANY NAME]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by resolutions (the “</w:t>
      </w:r>
      <w:r>
        <w:rPr>
          <w:rFonts w:ascii="Times New Roman" w:hAnsi="Times New Roman" w:eastAsia="Times New Roman" w:cs="Times New Roman"/>
          <w:b w:val="0"/>
          <w:sz w:val="24"/>
        </w:rPr>
        <w:t>Board Resolutions</w:t>
      </w:r>
      <w:r>
        <w:rPr>
          <w:rFonts w:ascii="Times New Roman" w:hAnsi="Times New Roman" w:eastAsia="Times New Roman" w:cs="Times New Roman"/>
          <w:b w:val="0"/>
          <w:sz w:val="24"/>
        </w:rPr>
        <w:t xml:space="preserve">”) [adopted by the Board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duly called and held/adopted by unanimous written consent] on [DATE], authorized the issuance and sale of up to [$DOLLAR AMOUNT/NUMBER] of the Company’s [DESCRIPTION OF SECURITIES] (the “</w:t>
      </w:r>
      <w:r>
        <w:rPr>
          <w:rFonts w:ascii="Times New Roman" w:hAnsi="Times New Roman" w:eastAsia="Times New Roman" w:cs="Times New Roman"/>
          <w:b w:val="0"/>
          <w:sz w:val="24"/>
        </w:rPr>
        <w:t>Securities</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(the “Offering”) in reliance upon the exemptions from registration provided by Rule 144A and Regulation S promulgated under the Securities Act of 1933, as amended (the “</w:t>
      </w:r>
      <w:r>
        <w:rPr>
          <w:rFonts w:ascii="Times New Roman" w:hAnsi="Times New Roman" w:eastAsia="Times New Roman" w:cs="Times New Roman"/>
          <w:b w:val="0"/>
          <w:sz w:val="24"/>
        </w:rPr>
        <w:t>Securities Act</w:t>
      </w:r>
      <w:r>
        <w:rPr>
          <w:rFonts w:ascii="Times New Roman" w:hAnsi="Times New Roman" w:eastAsia="Times New Roman" w:cs="Times New Roman"/>
          <w:b w:val="0"/>
          <w:sz w:val="24"/>
        </w:rPr>
        <w:t>”); and</w:t>
      </w:r>
    </w:p>
    <w:p>
      <w:pPr>
        <w:keepNext w:val="0"/>
        <w:spacing w:before="120" w:after="0" w:line="260" w:lineRule="exact"/>
        <w:ind w:left="360" w:right="0" w:firstLine="24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pursuant to the Board Resolutions, the Board has established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pricing committee of the Board (the “</w:t>
      </w:r>
      <w:r>
        <w:rPr>
          <w:rFonts w:ascii="Times New Roman" w:hAnsi="Times New Roman" w:eastAsia="Times New Roman" w:cs="Times New Roman"/>
          <w:b w:val="0"/>
          <w:sz w:val="24"/>
        </w:rPr>
        <w:t>Pricing Committee</w:t>
      </w:r>
      <w:r>
        <w:rPr>
          <w:rFonts w:ascii="Times New Roman" w:hAnsi="Times New Roman" w:eastAsia="Times New Roman" w:cs="Times New Roman"/>
          <w:b w:val="0"/>
          <w:sz w:val="24"/>
        </w:rPr>
        <w:t>”), consisting of [NAMES OF DIRECTORS] as members, with the authority to take, consistent with the Board Resolutions and subject to any restrictions imposed by applicable law, all actions with respect to the issuance and sale of the Securities, including determining the aggregate [principal amount/number] of Securities to be issued in the Offering, [the offering price,] [the rate of interest,] [the conversion price,] [the maturity date,] [the terms of redemption] and any other pricing terms or other matters as the Pricing Committee may determine to be necessary or appropriate in connection with the Offering.</w:t>
      </w:r>
    </w:p>
    <w:p>
      <w:pPr>
        <w:keepNext w:val="0"/>
        <w:spacing w:before="120" w:after="0" w:line="260" w:lineRule="exact"/>
        <w:ind w:left="36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issuance and sale of [$DOLLAR AMOUNT/NUMBER] of Securities by the Company to [NAMES OF INITIAL PURCHASER[S]] (the “</w:t>
      </w:r>
      <w:r>
        <w:rPr>
          <w:rFonts w:ascii="Times New Roman" w:hAnsi="Times New Roman" w:eastAsia="Times New Roman" w:cs="Times New Roman"/>
          <w:b w:val="0"/>
          <w:sz w:val="24"/>
        </w:rPr>
        <w:t>Initial Purchaser[s]</w:t>
      </w:r>
      <w:r>
        <w:rPr>
          <w:rFonts w:ascii="Times New Roman" w:hAnsi="Times New Roman" w:eastAsia="Times New Roman" w:cs="Times New Roman"/>
          <w:b w:val="0"/>
          <w:sz w:val="24"/>
        </w:rPr>
        <w:t>”) [, or, if the Initial Purchaser[s] exercise the Over-Allotment Option as defined in the Purchase Agreement [between the Company and the Initial Purchasers,] the issuance and sale of [aggregate principal amount of [$DOLLAR AMOUNT/NUMBER]] of Securities to the Initial Purchaser[s],] be, and the same hereby are, authorized, adopted and approved;</w:t>
      </w:r>
    </w:p>
    <w:p>
      <w:pPr>
        <w:keepNext w:val="0"/>
        <w:spacing w:before="120" w:after="0" w:line="260" w:lineRule="exact"/>
        <w:ind w:left="36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Securities shall have the terms set forth in the section entitled “Description of the Notes” in the Preliminary Offering Memorandum dated [DATE] relating to the Offering (the “</w:t>
      </w:r>
      <w:r>
        <w:rPr>
          <w:rFonts w:ascii="Times New Roman" w:hAnsi="Times New Roman" w:eastAsia="Times New Roman" w:cs="Times New Roman"/>
          <w:b w:val="0"/>
          <w:sz w:val="24"/>
        </w:rPr>
        <w:t>Preliminary Offering Memorandum</w:t>
      </w:r>
      <w:r>
        <w:rPr>
          <w:rFonts w:ascii="Times New Roman" w:hAnsi="Times New Roman" w:eastAsia="Times New Roman" w:cs="Times New Roman"/>
          <w:b w:val="0"/>
          <w:sz w:val="24"/>
        </w:rPr>
        <w:t xml:space="preserve">”), as modified and supplemented by the pricing term sheet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General Authorization</w:t>
      </w:r>
    </w:p>
    <w:p>
      <w:pPr>
        <w:keepNext w:val="0"/>
        <w:spacing w:before="120" w:after="0" w:line="260" w:lineRule="exact"/>
        <w:ind w:left="72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Officers/officers] of the Company be, and each of them acting singly hereby is, authorized, directed and empowered to take all such further actions, to execute, deliver and file all such further instruments and documents, and to do all such further things, in the name and on behalf of the Company and under its corporate seal or otherwise, and to pay all such fees, expenses and taxes, as in any [Authorized Officer’s/such officer’s] judgment may be necessary or advisable in order to carry out fully the intent and accomplish the purposes of the foregoing resolutions.</w:t>
      </w:r>
    </w:p>
    <w:p>
      <w:pPr>
        <w:keepNext w:val="0"/>
        <w:spacing w:before="120" w:after="0" w:line="260" w:lineRule="exact"/>
        <w:ind w:left="72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each act, action, agreement, document or instrument done, performed, made, executed or delivered by, in the name or on behalf of the Company prior to the date hereof in connection with the matters contemplated by the foregoing resolutions be, and each of the same hereby is, ratified, confirmed, authorized and approved.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