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360" w:right="0" w:firstLine="0"/>
        <w:jc w:val="both"/>
      </w:pPr>
      <w:r>
        <w:rPr>
          <w:rFonts w:ascii="Times New Roman" w:hAnsi="Times New Roman" w:eastAsia="Times New Roman" w:cs="Times New Roman"/>
          <w:b w:val="0"/>
          <w:sz w:val="24"/>
        </w:rPr>
        <w:t>$[principal amount of the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As of [effective date of 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promissory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required by Lender to evidence such extension.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w:t>
      </w:r>
      <w:r>
        <w:rPr>
          <w:rFonts w:ascii="Times New Roman" w:hAnsi="Times New Roman" w:eastAsia="Times New Roman" w:cs="Times New Roman"/>
          <w:b/>
          <w:sz w:val="24"/>
        </w:rPr>
        <w:t>Commitment Amount</w:t>
      </w:r>
      <w:r>
        <w:rPr>
          <w:rFonts w:ascii="Times New Roman" w:hAnsi="Times New Roman" w:eastAsia="Times New Roman" w:cs="Times New Roman"/>
          <w:b w:val="0"/>
          <w:sz w:val="24"/>
        </w:rPr>
        <w: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reasonably] satisfactory to Lender in all respects, and be obtained at the sole reasonable cost and expense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(i), (ii), or (iii) above would be less than the Floor, the Benchmark Replacement will be deemed to be the Floor for the purposes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clauses (i) and (ii) of the definition of "Benchmark Replacement," the first alternative set forth in the order below that can be determined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clause (iii)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44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(i)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3(e).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irrevocably designates and appoints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Note and its validity, enforcement, and interpretation shall be governed by the laws of the State of New Jersey (without regard to any principles of conflicts of laws) and applicable United States federal law.</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STATE OF NEW JERSEY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36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36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