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Maximum principal amount: $[amount]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[borrower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[corporation]] ("</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and debtor-in-possession under Chapter 11 of the Bankruptcy Code, hereby promises to pay to the order of [lender name] (the "</w:t>
      </w:r>
      <w:r>
        <w:rPr>
          <w:rFonts w:ascii="Times New Roman" w:hAnsi="Times New Roman" w:eastAsia="Times New Roman" w:cs="Times New Roman"/>
          <w:b w:val="0"/>
          <w:sz w:val="24"/>
        </w:rPr>
        <w:t>Lender</w:t>
      </w:r>
      <w:r>
        <w:rPr>
          <w:rFonts w:ascii="Times New Roman" w:hAnsi="Times New Roman" w:eastAsia="Times New Roman" w:cs="Times New Roman"/>
          <w:b w:val="0"/>
          <w:sz w:val="24"/>
        </w:rPr>
        <w:t>"), the principal sum of [amount] Dollars (or such lesser amount as shall equal the aggregate unpaid principal amount of the Loans made by the Lender to Borrower under the Credit Agreement), in lawful money of the United States of America and in immediately available funds, on the dates and in the principal amounts provided in the Credit Agreement, and to pay interest on the unpaid principal amount of each such Loan in like money and funds, for the period commencing on the date of such Loan until such Loan shall be paid in full, at the rates per annum and on the dates provided in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This Note is one of the notes referred to in the Revolving Credit [and Guaranty] Agreement, dated as of [date] (as modified and supplemented and in effect from time to time, the "Credit Agreement"), among Borrower, [the Guarantors party thereto from time to time,] the Lenders party thereto from time to time, and [name of agent], as Agent, and evidences Loans made by the Lender thereunder. Terms used but not defined in this Note have the respective meanings assigned to them in the Credit Agreement.</w:t>
      </w:r>
    </w:p>
    <w:p>
      <w:pPr>
        <w:keepNext w:val="0"/>
        <w:spacing w:before="200" w:after="0" w:line="260" w:lineRule="exact"/>
        <w:ind w:left="360" w:right="0" w:firstLine="0"/>
        <w:jc w:val="both"/>
      </w:pPr>
      <w:r>
        <w:rPr>
          <w:rFonts w:ascii="Times New Roman" w:hAnsi="Times New Roman" w:eastAsia="Times New Roman" w:cs="Times New Roman"/>
          <w:b w:val="0"/>
          <w:sz w:val="24"/>
        </w:rPr>
        <w:t>The Credit Agreement provides for the acceleration of the maturity of this Note upon the occurrence of certain events and for prepayments of Loans upon the terms and conditions specified therein.</w:t>
      </w:r>
    </w:p>
    <w:p>
      <w:pPr>
        <w:keepNext w:val="0"/>
        <w:spacing w:before="200" w:after="0" w:line="260" w:lineRule="exact"/>
        <w:ind w:left="360" w:right="0" w:firstLine="0"/>
        <w:jc w:val="both"/>
      </w:pPr>
      <w:r>
        <w:rPr>
          <w:rFonts w:ascii="Times New Roman" w:hAnsi="Times New Roman" w:eastAsia="Times New Roman" w:cs="Times New Roman"/>
          <w:b w:val="0"/>
          <w:sz w:val="24"/>
        </w:rPr>
        <w:t>Except as permitted by Section [10.03] of the Credit Agreement, this Note may not be assigned by the Lender to any other Person.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NOTE SHALL BE GOVERNED BY, AND CONSTRUED IN ACCORDANCE WITH, THE LAW OF THE STATE OF [jurisdiction], WITHOUT REGARD TO THE PRINCIPLES OF CONFLICTS OF LAW THEREOF.</w:t>
      </w:r>
    </w:p>
    <w:p>
      <w:pPr>
        <w:keepNext w:val="0"/>
        <w:spacing w:before="120" w:after="0" w:line="260" w:lineRule="exact"/>
        <w:ind w:left="360" w:right="0" w:firstLine="0"/>
        <w:jc w:val="left"/>
      </w:pPr>
      <w:r>
        <w:rPr>
          <w:rFonts w:ascii="Times New Roman" w:hAnsi="Times New Roman" w:eastAsia="Times New Roman" w:cs="Times New Roman"/>
          <w:b w:val="0"/>
          <w:sz w:val="24"/>
        </w:rPr>
        <w:t>[Borrower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