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Proposed Order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Plaintiff] [party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Court, having considered [objecting party designation, e.g., Plaintiff] [objecting party name]'s written objections to [adverse party designation, e.g., Defendant] [adverse party name]'s evidence [in support of or in opposition to] [moving party designation, e.g., Defendant] [moving party name]'s motion for summary [judgment or adjudication], hereby rules on those objections as set forth below: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Objections to [identify document in which specific material objected to is located, e.g., Jackson Declaration dated (date)]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Repeat for any other document containing objectionable material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 of order]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 (signature of judge)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Judge of the Superior Court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