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Protest to Revenue Agent's Report</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sz w:val="24"/>
        </w:rPr>
        <w:t>CERTIFIED MAIL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RETURN RECEIPT REQUESTED</w:t>
      </w:r>
    </w:p>
    <w:p>
      <w:pPr>
        <w:keepNext w:val="0"/>
        <w:spacing w:before="200" w:after="0" w:line="260" w:lineRule="exact"/>
        <w:ind w:left="360" w:right="0" w:firstLine="0"/>
        <w:jc w:val="both"/>
      </w:pPr>
      <w:r>
        <w:rPr>
          <w:rFonts w:ascii="Times New Roman" w:hAnsi="Times New Roman" w:eastAsia="Times New Roman" w:cs="Times New Roman"/>
          <w:b w:val="0"/>
          <w:sz w:val="24"/>
        </w:rPr>
        <w:t>Department of the Treasury</w:t>
      </w:r>
    </w:p>
    <w:p>
      <w:pPr>
        <w:keepNext w:val="0"/>
        <w:spacing w:before="200" w:after="0" w:line="260" w:lineRule="exact"/>
        <w:ind w:left="360" w:right="0" w:firstLine="0"/>
        <w:jc w:val="both"/>
      </w:pPr>
      <w:r>
        <w:rPr>
          <w:rFonts w:ascii="Times New Roman" w:hAnsi="Times New Roman" w:eastAsia="Times New Roman" w:cs="Times New Roman"/>
          <w:b w:val="0"/>
          <w:sz w:val="24"/>
        </w:rPr>
        <w:t>Internal Revue Service</w:t>
      </w:r>
    </w:p>
    <w:p>
      <w:pPr>
        <w:keepNext w:val="0"/>
        <w:spacing w:before="200" w:after="0" w:line="260" w:lineRule="exact"/>
        <w:ind w:left="360" w:right="0" w:firstLine="0"/>
        <w:jc w:val="both"/>
      </w:pPr>
      <w:r>
        <w:rPr>
          <w:rFonts w:ascii="Times New Roman" w:hAnsi="Times New Roman" w:eastAsia="Times New Roman" w:cs="Times New Roman"/>
          <w:b w:val="0"/>
          <w:sz w:val="24"/>
        </w:rPr>
        <w:t>[Office Address]</w:t>
      </w:r>
    </w:p>
    <w:p>
      <w:pPr>
        <w:keepNext w:val="0"/>
        <w:spacing w:before="200" w:after="0" w:line="260" w:lineRule="exact"/>
        <w:ind w:left="360" w:right="0" w:firstLine="0"/>
        <w:jc w:val="both"/>
      </w:pPr>
      <w:r>
        <w:rPr>
          <w:rFonts w:ascii="Times New Roman" w:hAnsi="Times New Roman" w:eastAsia="Times New Roman" w:cs="Times New Roman"/>
          <w:b w:val="0"/>
          <w:sz w:val="24"/>
        </w:rPr>
        <w:t>Attention: Revenue Agent, [Name of Agent]</w:t>
      </w:r>
    </w:p>
    <w:p>
      <w:pPr>
        <w:keepNext w:val="0"/>
        <w:spacing w:before="200" w:after="0" w:line="260" w:lineRule="exact"/>
        <w:ind w:left="360" w:right="0" w:firstLine="0"/>
        <w:jc w:val="both"/>
      </w:pPr>
      <w:r>
        <w:rPr>
          <w:rFonts w:ascii="Times New Roman" w:hAnsi="Times New Roman" w:eastAsia="Times New Roman" w:cs="Times New Roman"/>
          <w:b w:val="0"/>
          <w:sz w:val="24"/>
        </w:rPr>
        <w:t>Re: [Name of Taxpayer First Spouse]</w:t>
      </w:r>
    </w:p>
    <w:p>
      <w:pPr>
        <w:keepNext w:val="0"/>
        <w:spacing w:before="200" w:after="0" w:line="260" w:lineRule="exact"/>
        <w:ind w:left="360" w:right="0" w:firstLine="0"/>
        <w:jc w:val="both"/>
      </w:pPr>
      <w:r>
        <w:rPr>
          <w:rFonts w:ascii="Times New Roman" w:hAnsi="Times New Roman" w:eastAsia="Times New Roman" w:cs="Times New Roman"/>
          <w:b w:val="0"/>
          <w:sz w:val="24"/>
        </w:rPr>
        <w:tab/>
        <w:t>(SSN: [First Spouse’s SSN])</w:t>
      </w:r>
    </w:p>
    <w:p>
      <w:pPr>
        <w:keepNext w:val="0"/>
        <w:spacing w:before="200" w:after="0" w:line="260" w:lineRule="exact"/>
        <w:ind w:left="360" w:right="0" w:firstLine="0"/>
        <w:jc w:val="both"/>
      </w:pPr>
      <w:r>
        <w:rPr>
          <w:rFonts w:ascii="Times New Roman" w:hAnsi="Times New Roman" w:eastAsia="Times New Roman" w:cs="Times New Roman"/>
          <w:b w:val="0"/>
          <w:sz w:val="24"/>
        </w:rPr>
        <w:tab/>
        <w:t>[Name of Taxpayer Second Spouse]</w:t>
      </w:r>
    </w:p>
    <w:p>
      <w:pPr>
        <w:keepNext w:val="0"/>
        <w:spacing w:before="200" w:after="0" w:line="260" w:lineRule="exact"/>
        <w:ind w:left="360" w:right="0" w:firstLine="0"/>
        <w:jc w:val="both"/>
      </w:pPr>
      <w:r>
        <w:rPr>
          <w:rFonts w:ascii="Times New Roman" w:hAnsi="Times New Roman" w:eastAsia="Times New Roman" w:cs="Times New Roman"/>
          <w:b w:val="0"/>
          <w:sz w:val="24"/>
        </w:rPr>
        <w:tab/>
        <w:t>(SSN: [Second Spouse’s SSN])</w:t>
      </w:r>
    </w:p>
    <w:p>
      <w:pPr>
        <w:keepNext w:val="0"/>
        <w:spacing w:before="200" w:after="0" w:line="260" w:lineRule="exact"/>
        <w:ind w:left="360" w:right="0" w:firstLine="0"/>
        <w:jc w:val="both"/>
      </w:pPr>
      <w:r>
        <w:rPr>
          <w:rFonts w:ascii="Times New Roman" w:hAnsi="Times New Roman" w:eastAsia="Times New Roman" w:cs="Times New Roman"/>
          <w:b w:val="0"/>
          <w:sz w:val="24"/>
        </w:rPr>
        <w:t>Dear Revenue Agent, [Name of Agent]: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are attorneys for [Name of Taxpayer First Spouse] and [Name of Taxpayer Second Spouse] (collectively, the “taxpayers”). Our power of attorney for the taxpayers is enclosed. We have also enclosed our power of attorney for the [Name of Corporation]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Subchapter S corporation that is wholly owned by [Name of Taxpayer First Spouse]. The principal issue in these cases involves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flow-through loss from the Corporation to [Name of Taxpayer First Spouse] which was reported on the joint income tax return filed by the taxpayers with the Internal Revenue Service (the “IRS”) for taxable year [tax year].</w:t>
      </w:r>
    </w:p>
    <w:p>
      <w:pPr>
        <w:keepNext w:val="0"/>
        <w:spacing w:before="200" w:after="0" w:line="260" w:lineRule="exact"/>
        <w:ind w:left="360" w:right="0" w:firstLine="0"/>
        <w:jc w:val="both"/>
      </w:pPr>
      <w:r>
        <w:rPr>
          <w:rFonts w:ascii="Times New Roman" w:hAnsi="Times New Roman" w:eastAsia="Times New Roman" w:cs="Times New Roman"/>
          <w:b w:val="0"/>
          <w:sz w:val="24"/>
        </w:rPr>
        <w:t>Protest is hereby made to the Revenue Agent’s Reports issued to the taxpayers and the Corporation, and the 30-day letter issued to the taxpayers. (Collectively, the “Report”), with respect to (i) the Federal joint income tax return (Form 1040) filed by the taxpayers for [tax year], and (ii) the Subchapter S return (form 1120s) filed by the Corporation for [tax year].</w:t>
      </w:r>
    </w:p>
    <w:p>
      <w:pPr>
        <w:keepNext w:val="0"/>
        <w:spacing w:before="200" w:after="0" w:line="260" w:lineRule="exact"/>
        <w:ind w:left="360" w:right="0" w:firstLine="0"/>
        <w:jc w:val="both"/>
      </w:pPr>
      <w:r>
        <w:rPr>
          <w:rFonts w:ascii="Times New Roman" w:hAnsi="Times New Roman" w:eastAsia="Times New Roman" w:cs="Times New Roman"/>
          <w:b w:val="0"/>
          <w:sz w:val="24"/>
        </w:rPr>
        <w:t>The determinations contained in the Report are legally erroneous, contrary to the facts, and should be reversed. In connection therewith, the taxpayers state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and Address of the Taxpayers and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[Name of Taxpayer First Spouse]</w:t>
      </w:r>
    </w:p>
    <w:p>
      <w:pPr>
        <w:keepNext w:val="0"/>
        <w:spacing w:before="200" w:after="0" w:line="260" w:lineRule="exact"/>
        <w:ind w:left="1080" w:right="0" w:firstLine="0"/>
        <w:jc w:val="both"/>
      </w:pPr>
      <w:r>
        <w:rPr>
          <w:rFonts w:ascii="Times New Roman" w:hAnsi="Times New Roman" w:eastAsia="Times New Roman" w:cs="Times New Roman"/>
          <w:b w:val="0"/>
          <w:sz w:val="24"/>
        </w:rPr>
        <w:t>[Name of Taxpayer Second Spouse]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[Name of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Report.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Revenue Agent’s Report and 30-day letter mailed to the taxpayers is dated [month] [day], [year]. The Revenue Agent’s Report sent to the Corporation is dated [month] [day], [year]. The Corporation has not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letter, and no tax liability has been asserted against the Corporation since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Subchapter S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Year and Amount at Issue.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Findings Disputed by the Taxpayers and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taxpayers and the Corporation dispute the IRS’s determinations of tax, penalties, and interest in their entirety.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Facts and Law in Support of the Taxpayers' and the Corporation's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protest involves the taxpayers’ challenge to (i) the Revenue Agent’s erroneous determination that the taxpayers are not entitled to deduct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flow-through loss from the Corporation under Section 183 of the Internal Revenue Code (the “Code”), and (ii) the incorrect assertion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accuracy-related penalty against the taxpayers under Section 6662. The Revenue Agent’s conclusions in the Report are unsupported by the facts in this case and are based on misleading and incomplete statements of the law under Section 183. The determinations of the Revenue Agent should be reversed by the Appeals Office because the facts and law herein prove beyond any doubt that the business activities of the Corporation were entered into and continued for profit under Section 183; therefore, the taxpayers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for the loss sustained from this activity. The evidence also establishes that the taxpayers are not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under Section 6662.</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Principles.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Section 183 of the Code limits deductions,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Subchapter S corporation,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not engaged in for profit.” Under Section 183,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not engaged in for profit” is defined as one for which deductions are not allowable under Section 162, 212(1), or 212(2). Sections 162, 212(1), and 212(2) related to expenses incurred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expenses for transactions entered into for the production of income, and production of income, respectively.</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taxpayer meets the test of Section 183 if he intends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from the activity. The question of the taxpayer's intent under Section 183 is necessarily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subjective one because it depends on the motivations of the particular individual. See, e.g. Jasionowiski v. Comm'r, 66 T.C. 312, 321 (1976).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taxpayer's subjective intent is determined under Section 183 by considering the objective facts of the case. See Treasury Regulations (“Treas. Reg.”) § 1.183-2(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 Reg. § 1.183-2(b)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nine factors that may be relevant to this inquiry, but the law is clear that these factors are not exclusive, and not all factors apply in every case. Thus, courts have expressly rejected attempts by the IRS to base its Section 183 determinations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“mathematical weighting” of the nine factors in Treas. Reg. § 1.183-2(b). See, e.g., McCarthy v. C.I.R., 1998 U.S. App. LEXIS 17663 (2d Cir. 1998); rev'g and rem'g, T.C. Memo. 1997-436; Ranciato v. Comm'r, 52 F.3d 23, 24-25 (2nd Cir. 1995), vac'g and rem'g, T.C. Memo. 1993-536.</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taxpayer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under Section 183 if he shows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intent”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there is no requirement in the statute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taxpayer's intent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person” standard. Burger v. Comm'r, 809 F.2d 355, 358 (7th Cir. 1987); Treas. Reg. § 1.183-2(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may be allowed under Section 183 even if the taxpayer's potential for profit is small or speculative, or if the taxpayer's expectation of profit it unreasonable. Treas. Reg. § 1.183-2(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deductions are allowable under Section 183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taxpayer's activities that have both profit and non-profit purposes. Treas. Reg. § 1.183-2(b)(9).</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Discussion.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Corporation was incorporated in 1989. Since then, the Corporation has been actively engaged,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full-time basis, in the business of developing, customizing, distributing, and maintaining computer software for its customers. The Corporation also provides overall computer software consulting services to its clients. In this regard, the Corporation has entered into written contracts with large publicly traded companies such as [Name of Corporation], [Name of Corporation], and [Name of Corporation], and [Name of Corporation]. Further, the Corporation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[Name of State] State (the “State”)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software contract that would have earned the company $[Amount]. Ultimately, the proposal was not accepted by the State, but the foregoing clearly describes the nature and size of the Corporation’s active clients and those that it solicits for new business.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Corporation leases sizeable office space at [Street Address] in [City], [State]. There are several other commercial businesses in the same office complex and in the adjoining properties. The Corporation’s business premises cover [number of square feet] square feet. The Corporation has expanded its office space and staff over the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become more competitive in its industry. Within the Corporation’s leased office space there are [Number of Offices] separate offices for the Corporation’s staff of computer consultants,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conference room,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training room,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kitchen,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lunchroom. In [Tax Year], the Corporation paid rent in the approximate amount of $[Amount] per month for its offices.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[Tax year], the Corporation had [Number of Salaried Employees] salaried employees who worked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basis, including the [Name of Taxpayer First Spouse]. The [Name of Taxpayer First Spouse] worked five or more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and he devoted regular, continuous, and meaningful efforts to develop and expand the Corporation’s business. The [Name of Taxpayer First Spouse] and the Corporation’s other employees are experts in the field of computer software and computer consulting services. All of these individuals have conducted the Corporation’s business with the desire intention, and goal of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Although the Corporation—like many other computer companies—has not realized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it always has been the business purpose of the Corporation to be profitable.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Report, the Revenue Agent conceded that [Name of Taxpayer First Spouse] carried on the activities of the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business-like and professional fashion, and that the company maintained proper books and records for its employee and business affairs. It is well-recognized that operation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businesslike manner is the most important consideration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of profit motive under Section 183. Ronnen v. Commissioner, 90 T.C. 74, 92 (1988) (taxpayer shareholder in computer software company conducted affairs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businesslike manner; deduction allowed under Section 183). The Revenue Agent also recognized that [Name of Taxpayer First Spouse] spend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amount of time working for the Corporation. The substantial amount of time that [Name of Taxpayer First Spouse]—and the Corporation’s [Number of employees] other employees—devoted to the business in [Tax Year] clearly proves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intent. See, e.g., Christensen v. Commissioner, 1988 Tax Ct. Memo LEXIS 511 (1988). Further, the Revenue Agent acknowledged (albeit reluctantly) that the Taxpayer First Spouse did not conduct the Corporation’s business for his personal pleasure or recreation. Although the law is clear that “suffering has never been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prerequisite to deductibility” under Section 183, Jackson v. Commissioner, 59 T.C. 312, 317 (1972), acq. 1973-2 C.B. 2, the fact that the Taxpayer First Spouse did not engage in the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“hobby” is further proof of his profit motive.</w:t>
      </w:r>
    </w:p>
    <w:p>
      <w:pPr>
        <w:keepNext w:val="0"/>
        <w:spacing w:before="200" w:after="0" w:line="260" w:lineRule="exact"/>
        <w:ind w:left="1440" w:right="0" w:firstLine="0"/>
        <w:jc w:val="both"/>
      </w:pPr>
      <w:r>
        <w:rPr>
          <w:rFonts w:ascii="Times New Roman" w:hAnsi="Times New Roman" w:eastAsia="Times New Roman" w:cs="Times New Roman"/>
          <w:b w:val="0"/>
          <w:sz w:val="24"/>
        </w:rPr>
        <w:t>In light of the foregoing, we submit that the IRS’s challenge to the loss reported by the taxpayers is simply indefensible. The IRS is effectively punishing [Name of Taxpayer First Spouse] and the Corporaiton for not operating the business as successfully as the IRS would like. Such determinations Under Section 183 have been firmly rejected by the courts. See, e.g., Ranciato v. Commissioner, Id.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the Taxpayer First Spouse—contrary to the Revenue Agent’s statement in the Report—is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in the field of computer software. The Corporation’s other employees, who were hired by [Name of Taxpayer First Spouse], also have expert training, experience, and ability. Moreover, the Revenue Agent incorrectly states in the Report that [Name of Taxpayer First Spouse] has not consulted with other experts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improve the Corporation’s business. In fact, the Corporation engaged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consulting firm that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“top to bottom” review of the company’s operations. The consulting firm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report with recommendations for improving the Corporation’s profit potential. The reliance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expert is powerful evidence that the Corporation’s activities were engaged in for profit. See Kretchener v. Commissioner, 1989 Tax Ct. Memo LEXIS 242 (1989) (computer software investor with outside expert advice entitled Section 183 deduction).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Further, it is important to point out that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legitimate operating enterprise; thus, it is clearly incorrect for the Revenue Agent to characterize this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“hobby loss” case. [Name of Taxpayer First Spouse]’s daily, full-time commitment to the Taxpayer’s computer software business is in no way comparable to “hobby loss” cases involving such activities as horse breeding or auto racing. In this regard, the Tax Court’s holding in Edge v. Commissioner, 32 T.C.M. 1291 (1973),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horse breeding activity, is important. There the Court said: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Of greater significance than individual herd records to the outcome of this case is the time and attention devoted by petitioner to this farm. Contrary to many of the so-called ‘hobby loss' cases petitioner was no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‘absentee’ farmer who devoted his major effort to what might be termed his principal business. Petitioner simply had no other business.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[Name of Taxpayer First Spouse]’s active involvement in his computer company is also completely dissimilar to passive so-called “tax shelter” investments in coal mines, lithographs, tax straddles, research and development companies, etc. In short, [Name of Taxpayer First Spouse] and the Corporation are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ongoing business activity sanctioned and encouraged by Congress which benefits the company’s employees and the general welfare. This activity was entered into and conducted for profit, and therefore the taxpayers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therefrom under Section 183 of the Code.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the foregoing reasons, in conjunction with the additional evidence that will be presented at the Appeals conference, the Revenue Agent's determinations under Section 183 are erroneous and should be reversed. Further, since the taxpayers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for the loss from the Corporation, there is no understatement in tax and therefore the taxpayers cannot be held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under Section 6662.</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val="0"/>
          <w:sz w:val="24"/>
        </w:rPr>
        <w:t>No effort has been made in preparing this protest to cover all defenses or to cover any defense completely. No effort has been made to urge matters of offset or new matters tending to reduce the tax, penalties, and interest at issue.</w:t>
      </w:r>
    </w:p>
    <w:p>
      <w:pPr>
        <w:keepNext w:val="0"/>
        <w:spacing w:before="200" w:after="0" w:line="260" w:lineRule="exact"/>
        <w:ind w:left="360" w:right="0" w:firstLine="0"/>
        <w:jc w:val="both"/>
      </w:pPr>
      <w:r>
        <w:rPr>
          <w:rFonts w:ascii="Times New Roman" w:hAnsi="Times New Roman" w:eastAsia="Times New Roman" w:cs="Times New Roman"/>
          <w:b w:val="0"/>
          <w:sz w:val="24"/>
        </w:rPr>
        <w:t>In filing this protest, the taxpayers and the Corporation waive no rights and expressly reserve the right to urge new and different matters of defenses.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Respectfully submitted, </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w:t>
      </w:r>
    </w:p>
    <w:p>
      <w:pPr>
        <w:keepNext w:val="0"/>
        <w:spacing w:before="200" w:after="0" w:line="260" w:lineRule="exact"/>
        <w:ind w:left="360" w:right="0" w:firstLine="0"/>
        <w:jc w:val="both"/>
      </w:pPr>
      <w:r>
        <w:rPr>
          <w:rFonts w:ascii="Times New Roman" w:hAnsi="Times New Roman" w:eastAsia="Times New Roman" w:cs="Times New Roman"/>
          <w:b w:val="0"/>
          <w:sz w:val="24"/>
        </w:rPr>
        <w:t>The above protest was prepared by the undersigned attorney for the taxpayers and the Corporation, and the facts contained therein are true to the best of his knowledge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Taxpayers and Corporation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