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Public Project—90 Day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BOND CLAIM AND 90 DAY NOTICE 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PROVIDING LABOR AND/OR MATERIAL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AND OF RELIANCE UPON THE PAYMENT BOND FOR PAYMENT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[Governmental Unit or Agency]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[Surety]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[Principal on Bond]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___________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subcontractor/materialman on the construction project known as ___________ and has furnished labor and/or materials for, among other things, construction, alteration and/or improvements of ___________ pursuant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___________. The above contractor/subcontractor, ___________, is indebted to ___________ in the sum of $___________, which sum remains unpaid, for labor and/or materials provided, pursuant to the contract.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 looks to the security of the bond, and to the principal, ___________, and surety, ___________, on the bond for payment of all sums now due and owing, and which hereafter become due and owing pursuant to the contract, and demands immediate payment of the same.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Its: 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