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Publicity Guidelines Form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[FIRM LETTERHEAD]</w:t>
      </w:r>
    </w:p>
    <w:p>
      <w:pPr>
        <w:keepNext w:val="0"/>
        <w:spacing w:before="200" w:after="0" w:line="260" w:lineRule="exact"/>
        <w:ind w:left="720" w:right="0" w:firstLine="0"/>
        <w:jc w:val="both"/>
      </w:pPr>
      <w:r>
        <w:rPr>
          <w:rFonts w:ascii="Times New Roman" w:hAnsi="Times New Roman" w:eastAsia="Times New Roman" w:cs="Times New Roman"/>
          <w:b/>
          <w:sz w:val="24"/>
        </w:rPr>
        <w:t>Date: [DATE]</w:t>
      </w:r>
    </w:p>
    <w:p>
      <w:pPr>
        <w:keepNext w:val="0"/>
        <w:spacing w:before="200" w:after="0" w:line="260" w:lineRule="exact"/>
        <w:ind w:left="720" w:right="0" w:firstLine="0"/>
        <w:jc w:val="both"/>
      </w:pPr>
      <w:r>
        <w:rPr>
          <w:rFonts w:ascii="Times New Roman" w:hAnsi="Times New Roman" w:eastAsia="Times New Roman" w:cs="Times New Roman"/>
          <w:b/>
          <w:sz w:val="24"/>
        </w:rPr>
        <w:t>To: [ISSUER]</w:t>
      </w:r>
    </w:p>
    <w:p>
      <w:pPr>
        <w:keepNext w:val="0"/>
        <w:spacing w:before="200" w:after="0" w:line="260" w:lineRule="exact"/>
        <w:ind w:left="720" w:right="0" w:firstLine="0"/>
        <w:jc w:val="both"/>
      </w:pPr>
      <w:r>
        <w:rPr>
          <w:rFonts w:ascii="Times New Roman" w:hAnsi="Times New Roman" w:eastAsia="Times New Roman" w:cs="Times New Roman"/>
          <w:b/>
          <w:sz w:val="24"/>
        </w:rPr>
        <w:t>Copies to: [LEAD MANAGERS]</w:t>
      </w:r>
    </w:p>
    <w:p>
      <w:pPr>
        <w:keepNext w:val="0"/>
        <w:spacing w:before="200" w:after="0" w:line="260" w:lineRule="exact"/>
        <w:ind w:left="720" w:right="0" w:firstLine="0"/>
        <w:jc w:val="both"/>
      </w:pPr>
      <w:r>
        <w:rPr>
          <w:rFonts w:ascii="Times New Roman" w:hAnsi="Times New Roman" w:eastAsia="Times New Roman" w:cs="Times New Roman"/>
          <w:b/>
          <w:sz w:val="24"/>
        </w:rPr>
        <w:t>From: [ATTORNEY]</w:t>
      </w:r>
    </w:p>
    <w:p>
      <w:pPr>
        <w:keepNext w:val="0"/>
        <w:spacing w:before="120" w:after="0" w:line="260" w:lineRule="exact"/>
        <w:ind w:left="720" w:right="0" w:firstLine="0"/>
        <w:jc w:val="left"/>
      </w:pPr>
      <w:r>
        <w:rPr>
          <w:rFonts w:ascii="Times New Roman" w:hAnsi="Times New Roman" w:eastAsia="Times New Roman" w:cs="Times New Roman"/>
          <w:b/>
          <w:sz w:val="24"/>
        </w:rPr>
        <w:t xml:space="preserve">Subject: </w:t>
      </w:r>
      <w:r>
        <w:rPr>
          <w:rFonts w:ascii="Times New Roman" w:hAnsi="Times New Roman" w:eastAsia="Times New Roman" w:cs="Times New Roman"/>
          <w:b/>
          <w:sz w:val="24"/>
        </w:rPr>
        <w:t>Publicity Guidelines</w:t>
      </w:r>
    </w:p>
    <w:p>
      <w:pPr>
        <w:keepNext w:val="0"/>
        <w:spacing w:before="200" w:after="0" w:line="260" w:lineRule="exact"/>
        <w:ind w:left="1080" w:right="0" w:firstLine="0"/>
        <w:jc w:val="both"/>
      </w:pPr>
      <w:r>
        <w:rPr>
          <w:rFonts w:ascii="Times New Roman" w:hAnsi="Times New Roman" w:eastAsia="Times New Roman" w:cs="Times New Roman"/>
          <w:b w:val="0"/>
          <w:sz w:val="24"/>
        </w:rPr>
        <w:t>This memorandum sets forth the guidelines (the “</w:t>
      </w:r>
      <w:r>
        <w:rPr>
          <w:rFonts w:ascii="Times New Roman" w:hAnsi="Times New Roman" w:eastAsia="Times New Roman" w:cs="Times New Roman"/>
          <w:b/>
          <w:sz w:val="24"/>
        </w:rPr>
        <w:t>Publicity Guidelines</w:t>
      </w:r>
      <w:r>
        <w:rPr>
          <w:rFonts w:ascii="Times New Roman" w:hAnsi="Times New Roman" w:eastAsia="Times New Roman" w:cs="Times New Roman"/>
          <w:b w:val="0"/>
          <w:sz w:val="24"/>
        </w:rPr>
        <w:t>”) that apply to the proposed offering (the “</w:t>
      </w:r>
      <w:r>
        <w:rPr>
          <w:rFonts w:ascii="Times New Roman" w:hAnsi="Times New Roman" w:eastAsia="Times New Roman" w:cs="Times New Roman"/>
          <w:b/>
          <w:sz w:val="24"/>
        </w:rPr>
        <w:t>Offering</w:t>
      </w:r>
      <w:r>
        <w:rPr>
          <w:rFonts w:ascii="Times New Roman" w:hAnsi="Times New Roman" w:eastAsia="Times New Roman" w:cs="Times New Roman"/>
          <w:b w:val="0"/>
          <w:sz w:val="24"/>
        </w:rPr>
        <w:t>”) of [DESCRIBE SECURITIES] (the “</w:t>
      </w:r>
      <w:r>
        <w:rPr>
          <w:rFonts w:ascii="Times New Roman" w:hAnsi="Times New Roman" w:eastAsia="Times New Roman" w:cs="Times New Roman"/>
          <w:b/>
          <w:sz w:val="24"/>
        </w:rPr>
        <w:t>Securities</w:t>
      </w:r>
      <w:r>
        <w:rPr>
          <w:rFonts w:ascii="Times New Roman" w:hAnsi="Times New Roman" w:eastAsia="Times New Roman" w:cs="Times New Roman"/>
          <w:b w:val="0"/>
          <w:sz w:val="24"/>
        </w:rPr>
        <w:t>”) of [ISSUER] (the “</w:t>
      </w:r>
      <w:r>
        <w:rPr>
          <w:rFonts w:ascii="Times New Roman" w:hAnsi="Times New Roman" w:eastAsia="Times New Roman" w:cs="Times New Roman"/>
          <w:b/>
          <w:sz w:val="24"/>
        </w:rPr>
        <w:t>Issuer</w:t>
      </w:r>
      <w:r>
        <w:rPr>
          <w:rFonts w:ascii="Times New Roman" w:hAnsi="Times New Roman" w:eastAsia="Times New Roman" w:cs="Times New Roman"/>
          <w:b w:val="0"/>
          <w:sz w:val="24"/>
        </w:rPr>
        <w:t xml:space="preserve">”). We understand that the Issuer intends to conduct the Offering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unregistered offering under U.S. securities laws pursuant to [Rule 144A and Regulation S, each adopted under the U.S.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and [DESCRIBE NON-U.S. OFFERING]. We further understand that [LEAD MANAGERS] shall act as [initial purchasers in/underwriters of] the Offering (the “</w:t>
      </w:r>
      <w:r>
        <w:rPr>
          <w:rFonts w:ascii="Times New Roman" w:hAnsi="Times New Roman" w:eastAsia="Times New Roman" w:cs="Times New Roman"/>
          <w:b/>
          <w:sz w:val="24"/>
        </w:rPr>
        <w:t>Lead Managers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The Publicity Guidelines apply to the Issuer [and its parent company, [PARENT COMPANY]] ; [the selling shareholders in the Offering, if any;] the Lead Managers and any other syndicate members and dealer purchasers; and to each of the foregoing entities’ respective subsidiaries, affiliates, controlling persons, directors and officers, advisors, and other representatives, and any other persons acting on behalf of any of the foregoing persons or entities (collectively referred to as the “</w:t>
      </w:r>
      <w:r>
        <w:rPr>
          <w:rFonts w:ascii="Times New Roman" w:hAnsi="Times New Roman" w:eastAsia="Times New Roman" w:cs="Times New Roman"/>
          <w:b/>
          <w:sz w:val="24"/>
        </w:rPr>
        <w:t>Offering Participants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Any publicity, contact with the press, and other releases of information during the Offering, including information regarding the Securities, the Offering, or the Issuer, may have adverse consequences under the laws of the United States and [LOCAL JURISDICTION]. Consequently, all contact with the press and securities analysts, publicity, and other communications (including, for example, press conferences, press releases, Internet and web-based communications, and advertising) undertaken by you and the other Offering Participants during the Offering must comply with the attached Publicity Guidelines.</w:t>
      </w:r>
    </w:p>
    <w:p>
      <w:pPr>
        <w:keepNext w:val="0"/>
        <w:spacing w:before="200" w:after="0" w:line="260" w:lineRule="exact"/>
        <w:ind w:left="1080" w:right="0" w:firstLine="0"/>
        <w:jc w:val="both"/>
      </w:pPr>
      <w:r>
        <w:rPr>
          <w:rFonts w:ascii="Times New Roman" w:hAnsi="Times New Roman" w:eastAsia="Times New Roman" w:cs="Times New Roman"/>
          <w:b w:val="0"/>
          <w:sz w:val="24"/>
        </w:rPr>
        <w:t>The Publicity Guidelines are also intended to ensure that any information released by the Offering Participants in connection with the Offering is true, accurate, and not misleading, and is otherwise consistent with information that is to be included in any offering documents to be used in the Offering. Failure to comply with the Publicity Guidelines could adversely affect the Issuer’s ability to conduct the Offering in the time and manner contemplated, and expose the Issuer and other Offering Participants to liability under the Securities Act and any other applicable laws and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any questions about the Publicity Guidelines, please contact [ATTORNEY] at [CONTACT INFORMATION].</w:t>
      </w:r>
    </w:p>
    <w:p>
      <w:pPr>
        <w:keepNext w:val="0"/>
        <w:spacing w:before="120" w:after="0" w:line="260" w:lineRule="exact"/>
        <w:ind w:left="720" w:right="0" w:firstLine="0"/>
        <w:jc w:val="left"/>
      </w:pPr>
      <w:r>
        <w:rPr>
          <w:rFonts w:ascii="Times New Roman" w:hAnsi="Times New Roman" w:eastAsia="Times New Roman" w:cs="Times New Roman"/>
          <w:b/>
          <w:sz w:val="24"/>
        </w:rPr>
        <w:t>Publicity Guidelines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Period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These Publicity Guidelines are effective from the date hereof until [the closing of the Offering / 40 days after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closing of the Offering and (b) completion of the distribution of the Securities] (the “</w:t>
      </w:r>
      <w:r>
        <w:rPr>
          <w:rFonts w:ascii="Times New Roman" w:hAnsi="Times New Roman" w:eastAsia="Times New Roman" w:cs="Times New Roman"/>
          <w:b/>
          <w:sz w:val="24"/>
        </w:rPr>
        <w:t>Effective Period</w:t>
      </w:r>
      <w:r>
        <w:rPr>
          <w:rFonts w:ascii="Times New Roman" w:hAnsi="Times New Roman" w:eastAsia="Times New Roman" w:cs="Times New Roman"/>
          <w:b w:val="0"/>
          <w:sz w:val="24"/>
        </w:rPr>
        <w:t>”). During the Effective Period, no Offering Participant should engage in any Publicity (as defined below) in contravention of these Publicity Guidelines. Failure to comply with these Publicity Guidelines may result in liability under the laws of the United States and [LOCAL JURISDICTION] and significant delay of the Offering.</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includes any contact with the press, securities analysts or representatives of independent research or consulting firms, and any publication, broadcast, or other broad-based communication of Restricted Information (as defined below)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Participant, whether in written, oral, or electronic form and whether made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announcement, fact sheet, brochure, poster, advertisement (including print and “outdoor” advertisements such as banners and notice boards), press conference or other presentation or communication to the media, interview, radio or television broadcast, video in all forms (including but not limited to optical media such as DVDs and CD-ROMs), telecommunications, electronic mail or the internet, and any notice published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newspaper, or periodical or on any medium or in any manner capable of suggesting words and ideas, and includes responses to inquiries and presentations to potential investors. Publicity includes Restricted Information that is widely disseminated by any Offering Participant, whether internally (for example, by way of staff newsletters, electronic mail or “intranet” site) or externally (for example, through the Issuer’s own media channels, general customer communications and marketing initiatives).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Information”</w:t>
      </w:r>
      <w:r>
        <w:rPr>
          <w:rFonts w:ascii="Times New Roman" w:hAnsi="Times New Roman" w:eastAsia="Times New Roman" w:cs="Times New Roman"/>
          <w:b w:val="0"/>
          <w:sz w:val="24"/>
        </w:rPr>
        <w:t xml:space="preserve"> includes any information about any aspect of the Offering, the Securities, or the Issuer[, its parent company, or its subsidiaries] or [its/their] respective products, services, operations, assets, liabilities, financial position, or prospects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would likely stimulate interest in the Issuer or the Securities, (b) could reasonably be expected to have the effect of conditioning the market for the Securities, or (c) is intended to condition the market for the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“Restricted Information” should be construed broadly. It can include facts or opinions. It includes all information about any aspect of the Offering and/or the Securities, as well as information about the operations, financial position or prospects of the Issuer; any predictions, projections, forecasts, or opinions regarding the value of the Issuer or the Securities; any “corporate image” or other advertising not in the ordinary course of the Issuer’s business or inconsistent with its past practice; and any information released through arranged press or media coverage about the Issuer.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Press”</w:t>
      </w:r>
      <w:r>
        <w:rPr>
          <w:rFonts w:ascii="Times New Roman" w:hAnsi="Times New Roman" w:eastAsia="Times New Roman" w:cs="Times New Roman"/>
          <w:b w:val="0"/>
          <w:sz w:val="24"/>
        </w:rPr>
        <w:t xml:space="preserve"> refers to (i) any print or broadcast media based in the United States (including the Bloomberg, CNN, Newsweek, The New York Times, The Wall Street Journal, and Time) and (ii) any print or broadcast media based outside of the United States with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edition or substantial circulation in the United States (including the Financial Times, Reuters, and The Economist). Publication or media not constituting Restricted Press is referred to in these Guidelines as “</w:t>
      </w:r>
      <w:r>
        <w:rPr>
          <w:rFonts w:ascii="Times New Roman" w:hAnsi="Times New Roman" w:eastAsia="Times New Roman" w:cs="Times New Roman"/>
          <w:b/>
          <w:sz w:val="24"/>
        </w:rPr>
        <w:t>non-Restricted Press.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to Comply with these Publicity Guidelines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Offering Participant should ensure that all relevant persons within its organization, including any persons that may engage in Publicity or disseminate Restricted Information, are made aware of, and have read and understood, these Publicity Guidelines.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Offering Participant should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within its organization to be responsible for the control of Publicity, the release of information, and compliance with these Publicity Guidelines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Responsible Person</w:t>
      </w:r>
      <w:r>
        <w:rPr>
          <w:rFonts w:ascii="Times New Roman" w:hAnsi="Times New Roman" w:eastAsia="Times New Roman" w:cs="Times New Roman"/>
          <w:b w:val="0"/>
          <w:sz w:val="24"/>
        </w:rPr>
        <w:t xml:space="preserve">”). The Responsible Person should review any release of information that could possibly be viewed as Publicity or as containing Restricted Information.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Person believes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activity may be considered Publicity or is uncertain whether it contains Restricted Information, he or she should send drafts of such Publicity to [INSERT RELEVANT COUNSELS] (the “</w:t>
      </w:r>
      <w:r>
        <w:rPr>
          <w:rFonts w:ascii="Times New Roman" w:hAnsi="Times New Roman" w:eastAsia="Times New Roman" w:cs="Times New Roman"/>
          <w:b/>
          <w:sz w:val="24"/>
        </w:rPr>
        <w:t>Legal Counsels</w:t>
      </w:r>
      <w:r>
        <w:rPr>
          <w:rFonts w:ascii="Times New Roman" w:hAnsi="Times New Roman" w:eastAsia="Times New Roman" w:cs="Times New Roman"/>
          <w:b w:val="0"/>
          <w:sz w:val="24"/>
        </w:rPr>
        <w:t>”) for their review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Pre-Release Review</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Offering Participants must inform the Legal Counsel prior to engaging in any Publicity, including any press conferences, interviews with the media, public speeches, or other events where communication is made to the public during which references may be made to the Offering. Any Publicity by any Offering Participant during the Effective Period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Related to the Press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Press conferences and other non-written communications with the press (by any means, including in person, on the telephone, or via teleconference), including “one-on-one interviews,” may only be undertaken if (1) they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 (2) all participants are located outside of the United States, and (3) [if open to the Restricted Press, they are also open to the non-Restricted Press (though actual attendance by the non-Restricted Press is not required)]. This requirement applies to both the initial press conference and any following discussions.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Press releases and other written communications with the press (by any means, including the internet) may only be made if (1) they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 (2) they include the legends as set forth under sub-section C below, (3) they do not contain or attach any form of purchase order or coupon that may be returned to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Offering, and (4) [if made available to the Restricted Press, they are also made available to the non-Restricted Press].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first page of any press release and any other written Publicity to which the press is given access must include the following boldface legend: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“These materials are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for sale of the securities in the United States. The securities may not be offered or sold in the United States absent registration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under the United States Securities Act of 1933, as amended. Any public offering of the securities to be made in the United States will be made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that may be obtained from the issuer or seller and that will contain detailed information about the issuer and its management, as well as financial statements. Neither the issuer nor the seller of the securities intends to register any portion of the offering in the United States or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of securities in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press releases or other written materials issued outside the United States may reference the non-U.S. portion of the Offering, but should not reference the Offering in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Offering Participants may respond to unsolicited inquiries from representatives of the press, but responses must be limited to information that has already been made public by way of press release or another formal announcement. </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Related to Advertisements and Corporate Communications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Advertisements for the Issuer’s products and services may be placed in both the Restricted Press and non-Restricted Press if (1) distributed through the Issuer’s normal publicity channels; (2) consistent (in character and content) with the Issuer’s recent advertising campaigns; and (3) designed to promote the Issuer’s products and services to its customers, rather than the Offering or the Securities. All other advertisements (including all “corporate image” advertisements) should be reviewed by the Responsible Person and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Routine corporate communications may be released, including (1) any legal notice required to be published pursuant to any law or regulation, or by the rules and regulations of any stock exchange or listing authority,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it contains no more information than is legally required; (2) dividend notices and other similar announcements; and (3) annual reports, results announcements and earnings releases, provided that they are done in accordance with past practice and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Operational and other factual press releases may also be released (e.g.,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factory or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contract), provided that they are done in accordance with past practice and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Related to Communications on the Internet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ensure that all information on the Issuer’s website or provided by the Issuer and posted on any website does not contain any Restricted Information, is consistent with normal and routine product advertising or corporate communications made in accordance with the Issuer’s past practice, does not refer to the Offering or the Securities, and could not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 to stimulate interest in the Issuer or its securities or to condition the market for the Securities. </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carefully review its website and remove, as well as refrain from uploading during the Effective Period, any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Restricted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all “hyperbole” and overly enthusiastic statements, or other claims about the Issuer or its financial performance, that cannot be verified;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any information that conflicts with information that is (or may be) included in the [offering memorandum/offering circular/prospectus] (“</w:t>
      </w:r>
      <w:r>
        <w:rPr>
          <w:rFonts w:ascii="Times New Roman" w:hAnsi="Times New Roman" w:eastAsia="Times New Roman" w:cs="Times New Roman"/>
          <w:b/>
          <w:sz w:val="24"/>
        </w:rPr>
        <w:t>Offering Documents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all out-of-date and “stale”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any reports (or links to reports) on the Issuer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such as analysts’ reports;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all (1) projections and forecasts, (2) analysis of business trends, (3) statements regarding anticipated performance, and (4) other forward looking statements about the Issuer; and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any links embedded in, or any documents hyperlinked to, websites relating to the Issuer that allow access to broker-dealer homepages, news stories, or analysts’ reports that could constitute Restricted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not establish any new internet site or expand any existing website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Pre-Clearance Review. The Issuer should monitor all of its websites for any new information that could constitute Restricted Information.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not disseminate Restricted Information via e-mail unless each recipient of the e-mail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or 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in which such information may be lawfully disseminated. Any dissemination of Restricted Information by e-mail or other electronic means should be discussed in advance with the Legal Counsels.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Related to Research Reports and Communications with Securities Analysts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Managers and other syndicate members may distribute research reports covering the Issuer to their clients, prior to the launch of the Offering. The Issuer may choose to review such reports, subject to the research guidelines provided by [LEAD MANAGER’S COUNSEL]. If the Issuer chooses to review such reports, it should limit such review to verification of factual accuracy. The Issuer should ensure that only public information or information that will be disclosed in the Offering Documents will be provided to analysts.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not provide any projections or forecasts to any analysts.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Issuer should not review research reports from any firm that is not participating in the Offering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Lead Manager, syndicate member, or dealer-manager. The Issuer should not initiate any communications with any securities analysts.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Offering Participants may respond to unsolicited inquiries from analysts and securities firms, but responses must be limited to information that has already been made public by way of press release or another formal announcement.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Related to Road Shows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communications, including road shows and other meetings, with potential investors in the United States are restricted to “qualified institutional buyers,” as defined in Rule 144A under the Securities Act. All road shows and other meetings [outside the United States] with potential investors who are U.S. persons [or persons located in the United States] are prohibited.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materials, other than the Offering Documents, should be distributed to attendees at any road show presentation. Prior to the publication of the preliminary Offering Documents, do not release any information to potential investors unless that information is already in the public domain.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Following publication of the preliminary Offering Documents, limit all comments and answers made in road shows and other meetings with potential investors to the information contained in the Offering Documents. Do not make statements involving predictions, projections or forecasts concerning the Issuer’s operations or opinions regarding the value of the Issuer or the Securities beyond what is included in the Offering Documents. In response to questions that seek such information, Offering Participants should at most answer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general statement about the possible continuation or non-continuation of existing trends, provided, however, that any such information is contained in the Offering Documents.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road show presentation materials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Pre-Release Review.</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it is likely that any questions will arise at roadshows relating to any material matters not already disclosed in the Offering Documents, consult with the Legal Counsels on how to respond to such questions and whether or not such information should be included in the Offering Documents.</w:t>
      </w:r>
    </w:p>
    <w:p>
      <w:pPr>
        <w:keepNext w:val="0"/>
        <w:spacing w:before="200" w:after="0" w:line="260" w:lineRule="exact"/>
        <w:ind w:left="720" w:right="0" w:firstLine="0"/>
        <w:jc w:val="center"/>
      </w:pPr>
      <w:r>
        <w:rPr>
          <w:rFonts w:ascii="Times New Roman" w:hAnsi="Times New Roman" w:eastAsia="Times New Roman" w:cs="Times New Roman"/>
          <w:b w:val="0"/>
          <w:sz w:val="24"/>
        </w:rPr>
        <w:t>[Additional Restrictions on Publicity]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