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Purchase Offer: Membership Interests of Former Member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dissenting former Member]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 of dissenting former member]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Re: </w:t>
      </w:r>
      <w:r>
        <w:rPr>
          <w:rFonts w:ascii="Times New Roman" w:hAnsi="Times New Roman" w:eastAsia="Times New Roman" w:cs="Times New Roman"/>
          <w:b w:val="0"/>
          <w:sz w:val="24"/>
        </w:rPr>
        <w:t>Offer to Pay Fair Value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Dear Sir or Madam: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accordance with Section 1005(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 of the New York Limited Liability Company Law, this notice is issued to you within ten (10) days of the effective date of the [applicable event (e.g., merger/consolidation)] involving [name of LLC] and [name of other LLC or business entity].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 hereby offer to pay you, in cash, the fair value of your membership interest in [name of LLC]. The amount of said fair value shall be determined, as previously agreed, in the following manner: [specify formula or plan for valuation of member’s interest and cite to source, e.g., the operating agreement].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N.Y. Ltd. Liab. Co. Law § 1005(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), payment will be made to you within ten (10) days after your notice of acceptance of the above-referenced offer is received by [name of surviving or resulting domestic limited liability company or other business entity].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Regards,</w:t>
      </w:r>
    </w:p>
    <w:p>
      <w:pPr>
        <w:keepNext w:val="0"/>
        <w:spacing w:before="12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Signature and capacity of signer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